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E338B1" w14:textId="77777777" w:rsidR="00F10A4D" w:rsidRPr="00F10A4D" w:rsidRDefault="00F10A4D" w:rsidP="00F10A4D">
      <w:pPr>
        <w:pStyle w:val="NormalWeb"/>
        <w:rPr>
          <w:color w:val="000000"/>
        </w:rPr>
      </w:pPr>
      <w:r w:rsidRPr="00F10A4D">
        <w:rPr>
          <w:color w:val="000000"/>
        </w:rPr>
        <w:t xml:space="preserve">[Your Name]  </w:t>
      </w:r>
      <w:r>
        <w:rPr>
          <w:color w:val="000000"/>
        </w:rPr>
        <w:br/>
      </w:r>
      <w:r w:rsidRPr="00F10A4D">
        <w:rPr>
          <w:color w:val="000000"/>
        </w:rPr>
        <w:t xml:space="preserve">[Your Address]  </w:t>
      </w:r>
      <w:r>
        <w:rPr>
          <w:color w:val="000000"/>
        </w:rPr>
        <w:br/>
      </w:r>
      <w:r w:rsidRPr="00F10A4D">
        <w:rPr>
          <w:color w:val="000000"/>
        </w:rPr>
        <w:t xml:space="preserve">[City, State, ZIP Code]  </w:t>
      </w:r>
      <w:r>
        <w:rPr>
          <w:color w:val="000000"/>
        </w:rPr>
        <w:br/>
      </w:r>
      <w:r w:rsidRPr="00F10A4D">
        <w:rPr>
          <w:color w:val="000000"/>
        </w:rPr>
        <w:t xml:space="preserve">[Email Address]  </w:t>
      </w:r>
      <w:r>
        <w:rPr>
          <w:color w:val="000000"/>
        </w:rPr>
        <w:br/>
      </w:r>
      <w:r w:rsidRPr="00F10A4D">
        <w:rPr>
          <w:color w:val="000000"/>
        </w:rPr>
        <w:t xml:space="preserve">[Phone Number]  </w:t>
      </w:r>
      <w:r>
        <w:rPr>
          <w:color w:val="000000"/>
        </w:rPr>
        <w:br/>
      </w:r>
      <w:r w:rsidRPr="00F10A4D">
        <w:rPr>
          <w:color w:val="000000"/>
        </w:rPr>
        <w:t>[Date]</w:t>
      </w:r>
    </w:p>
    <w:p w14:paraId="6502C6F9" w14:textId="77777777" w:rsidR="00F10A4D" w:rsidRPr="00F10A4D" w:rsidRDefault="00F10A4D" w:rsidP="00F10A4D">
      <w:pPr>
        <w:pStyle w:val="NormalWeb"/>
        <w:rPr>
          <w:color w:val="000000"/>
        </w:rPr>
      </w:pPr>
    </w:p>
    <w:p w14:paraId="36983525" w14:textId="77777777" w:rsidR="00F10A4D" w:rsidRPr="00F10A4D" w:rsidRDefault="00F10A4D" w:rsidP="00F10A4D">
      <w:pPr>
        <w:pStyle w:val="NormalWeb"/>
        <w:rPr>
          <w:color w:val="000000"/>
        </w:rPr>
      </w:pPr>
      <w:r w:rsidRPr="00F10A4D">
        <w:rPr>
          <w:b/>
          <w:bCs/>
          <w:color w:val="000000"/>
        </w:rPr>
        <w:t>Department of Planning, Lands and Heritage</w:t>
      </w:r>
      <w:r w:rsidRPr="00F10A4D">
        <w:rPr>
          <w:b/>
          <w:bCs/>
          <w:color w:val="000000"/>
        </w:rPr>
        <w:br/>
      </w:r>
      <w:r w:rsidRPr="00F10A4D">
        <w:rPr>
          <w:color w:val="000000"/>
        </w:rPr>
        <w:t>Attention Metro Central North team</w:t>
      </w:r>
      <w:r w:rsidRPr="00F10A4D">
        <w:rPr>
          <w:color w:val="000000"/>
        </w:rPr>
        <w:br/>
        <w:t>Locked Bag 2506</w:t>
      </w:r>
      <w:r w:rsidRPr="00F10A4D">
        <w:rPr>
          <w:color w:val="000000"/>
        </w:rPr>
        <w:br/>
        <w:t>Perth WA 6000</w:t>
      </w:r>
    </w:p>
    <w:p w14:paraId="083B9B7F" w14:textId="77777777" w:rsidR="00F10A4D" w:rsidRDefault="00F10A4D" w:rsidP="00F10A4D">
      <w:pPr>
        <w:pStyle w:val="NormalWeb"/>
        <w:rPr>
          <w:color w:val="000000"/>
        </w:rPr>
      </w:pPr>
      <w:r>
        <w:rPr>
          <w:color w:val="000000"/>
        </w:rPr>
        <w:t>Dear Sir/Madam,</w:t>
      </w:r>
    </w:p>
    <w:p w14:paraId="71C8FC73" w14:textId="77777777" w:rsidR="00F10A4D" w:rsidRPr="00F10A4D" w:rsidRDefault="00F10A4D" w:rsidP="00F10A4D">
      <w:pPr>
        <w:pStyle w:val="NormalWeb"/>
        <w:rPr>
          <w:b/>
          <w:bCs/>
          <w:color w:val="000000"/>
        </w:rPr>
      </w:pPr>
      <w:r w:rsidRPr="00F10A4D">
        <w:rPr>
          <w:b/>
          <w:bCs/>
          <w:color w:val="000000"/>
        </w:rPr>
        <w:t>Subject: Opposition to the Draft Floreat Precinct Structure Plan</w:t>
      </w:r>
      <w:r w:rsidR="002437FE">
        <w:rPr>
          <w:b/>
          <w:bCs/>
          <w:color w:val="000000"/>
        </w:rPr>
        <w:t xml:space="preserve"> by APIL Group</w:t>
      </w:r>
    </w:p>
    <w:p w14:paraId="4689B326" w14:textId="77777777" w:rsidR="00F10A4D" w:rsidRDefault="00F10A4D" w:rsidP="00F10A4D">
      <w:pPr>
        <w:pStyle w:val="NormalWeb"/>
        <w:rPr>
          <w:color w:val="000000"/>
        </w:rPr>
      </w:pPr>
      <w:r>
        <w:rPr>
          <w:color w:val="000000"/>
        </w:rPr>
        <w:t xml:space="preserve">I am writing to address the suggestion in APIL’s draft Precinct Structure Plan that the Floreat Activity Centre should be developed in a manner consistent with the large-scale developments at </w:t>
      </w:r>
      <w:proofErr w:type="spellStart"/>
      <w:r>
        <w:rPr>
          <w:color w:val="000000"/>
        </w:rPr>
        <w:t>Karrinyup</w:t>
      </w:r>
      <w:proofErr w:type="spellEnd"/>
      <w:r>
        <w:rPr>
          <w:color w:val="000000"/>
        </w:rPr>
        <w:t xml:space="preserve"> and Garden City. They specifically call on these centres setting precedent for high-rise development on the fringes in Floreat. Upon careful analysis, it is clear that this comparison is fundamentally flawed for several key reasons. These differences highlight the unique characteristics of the Floreat Activity Centre, which must be respected to ensure a development outcome that is appropriate for the local context.</w:t>
      </w:r>
    </w:p>
    <w:p w14:paraId="2BAA9DE2" w14:textId="77777777" w:rsidR="00F10A4D" w:rsidRDefault="00F10A4D" w:rsidP="00F10A4D">
      <w:pPr>
        <w:pStyle w:val="NormalWeb"/>
        <w:numPr>
          <w:ilvl w:val="0"/>
          <w:numId w:val="1"/>
        </w:numPr>
        <w:rPr>
          <w:color w:val="000000"/>
        </w:rPr>
      </w:pPr>
      <w:r>
        <w:rPr>
          <w:rStyle w:val="Strong"/>
          <w:color w:val="000000"/>
        </w:rPr>
        <w:t>Hierarchy and Designation in Planning Frameworks:</w:t>
      </w:r>
      <w:r>
        <w:rPr>
          <w:rStyle w:val="apple-converted-space"/>
          <w:color w:val="000000"/>
        </w:rPr>
        <w:t> </w:t>
      </w:r>
      <w:proofErr w:type="spellStart"/>
      <w:r>
        <w:rPr>
          <w:color w:val="000000"/>
        </w:rPr>
        <w:t>Karrinyup</w:t>
      </w:r>
      <w:proofErr w:type="spellEnd"/>
      <w:r>
        <w:rPr>
          <w:color w:val="000000"/>
        </w:rPr>
        <w:t xml:space="preserve"> and Garden City are both classified as Secondary Centres in the State Planning Policy 4.2 (SPP 4.2), which guides the development of activity centres in Perth and Peel. This designation allows for high-rise development due to the strategic importance of these centres, which are intended to serve large catchment areas and support significant commercial and residential growth. In contrast, the Floreat Activity Centre is classified as a District Centre. District Centres are intended to provide for mid-rise development, with a focus on serving the local community rather than attracting large-scale regional activity. The push to develop Floreat in a manner similar to </w:t>
      </w:r>
      <w:proofErr w:type="spellStart"/>
      <w:r>
        <w:rPr>
          <w:color w:val="000000"/>
        </w:rPr>
        <w:t>Karrinyup</w:t>
      </w:r>
      <w:proofErr w:type="spellEnd"/>
      <w:r>
        <w:rPr>
          <w:color w:val="000000"/>
        </w:rPr>
        <w:t xml:space="preserve"> and Garden City overlooks this critical distinction and risks undermining the established activity centre hierarchy.</w:t>
      </w:r>
    </w:p>
    <w:p w14:paraId="4B77C237" w14:textId="77777777" w:rsidR="00F10A4D" w:rsidRDefault="00F10A4D" w:rsidP="00F10A4D">
      <w:pPr>
        <w:pStyle w:val="NormalWeb"/>
        <w:numPr>
          <w:ilvl w:val="0"/>
          <w:numId w:val="1"/>
        </w:numPr>
        <w:rPr>
          <w:color w:val="000000"/>
        </w:rPr>
      </w:pPr>
      <w:r>
        <w:rPr>
          <w:rStyle w:val="Strong"/>
          <w:color w:val="000000"/>
        </w:rPr>
        <w:t>Transport Infrastructure:</w:t>
      </w:r>
      <w:r>
        <w:rPr>
          <w:rStyle w:val="apple-converted-space"/>
          <w:color w:val="000000"/>
        </w:rPr>
        <w:t> </w:t>
      </w:r>
      <w:r>
        <w:rPr>
          <w:color w:val="000000"/>
        </w:rPr>
        <w:t xml:space="preserve">Both </w:t>
      </w:r>
      <w:proofErr w:type="spellStart"/>
      <w:r>
        <w:rPr>
          <w:color w:val="000000"/>
        </w:rPr>
        <w:t>Karrinyup</w:t>
      </w:r>
      <w:proofErr w:type="spellEnd"/>
      <w:r>
        <w:rPr>
          <w:color w:val="000000"/>
        </w:rPr>
        <w:t xml:space="preserve"> and Garden City are well-serviced by major transport infrastructure that supports high-density development. </w:t>
      </w:r>
      <w:proofErr w:type="spellStart"/>
      <w:r>
        <w:rPr>
          <w:color w:val="000000"/>
        </w:rPr>
        <w:t>Karrinyup</w:t>
      </w:r>
      <w:proofErr w:type="spellEnd"/>
      <w:r>
        <w:rPr>
          <w:color w:val="000000"/>
        </w:rPr>
        <w:t xml:space="preserve">, for example, is supported by </w:t>
      </w:r>
      <w:proofErr w:type="spellStart"/>
      <w:r>
        <w:rPr>
          <w:color w:val="000000"/>
        </w:rPr>
        <w:t>Karrinyup</w:t>
      </w:r>
      <w:proofErr w:type="spellEnd"/>
      <w:r>
        <w:rPr>
          <w:color w:val="000000"/>
        </w:rPr>
        <w:t xml:space="preserve"> Road, a Primary Distributor road designed to handle high traffic volumes. Garden City is similarly situated along Marmion Street and </w:t>
      </w:r>
      <w:proofErr w:type="spellStart"/>
      <w:r>
        <w:rPr>
          <w:color w:val="000000"/>
        </w:rPr>
        <w:t>Riseley</w:t>
      </w:r>
      <w:proofErr w:type="spellEnd"/>
      <w:r>
        <w:rPr>
          <w:color w:val="000000"/>
        </w:rPr>
        <w:t xml:space="preserve"> Street, both of which are dual carriageway roads with central medians, capable of accommodating substantial vehicular traffic. These roads are critical in supporting the large-scale retail and residential development in these centres. In contrast, the Floreat Activity Centre is primarily accessed via single carriageway roads, such as The Boulevard, which is already operating at or near capacity. The local road network is simply not equipped to handle the increased traffic volumes that would accompany a development of the scale seen at </w:t>
      </w:r>
      <w:proofErr w:type="spellStart"/>
      <w:r>
        <w:rPr>
          <w:color w:val="000000"/>
        </w:rPr>
        <w:t>Karrinyup</w:t>
      </w:r>
      <w:proofErr w:type="spellEnd"/>
      <w:r>
        <w:rPr>
          <w:color w:val="000000"/>
        </w:rPr>
        <w:t xml:space="preserve"> or Garden City,</w:t>
      </w:r>
      <w:r w:rsidR="00BF7C48">
        <w:rPr>
          <w:color w:val="000000"/>
        </w:rPr>
        <w:t xml:space="preserve"> </w:t>
      </w:r>
      <w:r>
        <w:rPr>
          <w:color w:val="000000"/>
        </w:rPr>
        <w:t>making such a comparison inappropriate and unsustainable.</w:t>
      </w:r>
    </w:p>
    <w:p w14:paraId="4C628D06" w14:textId="77777777" w:rsidR="00BF7C48" w:rsidRDefault="00BF7C48" w:rsidP="00BF7C48">
      <w:pPr>
        <w:pStyle w:val="NormalWeb"/>
        <w:numPr>
          <w:ilvl w:val="0"/>
          <w:numId w:val="1"/>
        </w:numPr>
      </w:pPr>
      <w:r>
        <w:rPr>
          <w:rStyle w:val="Strong"/>
        </w:rPr>
        <w:lastRenderedPageBreak/>
        <w:t>Overshadowing and Visual Privacy:</w:t>
      </w:r>
      <w:r>
        <w:rPr>
          <w:rStyle w:val="apple-converted-space"/>
        </w:rPr>
        <w:t> </w:t>
      </w:r>
      <w:r>
        <w:t xml:space="preserve">The overshadowing impact of high-rise developments at </w:t>
      </w:r>
      <w:proofErr w:type="spellStart"/>
      <w:r>
        <w:t>Karrinyup</w:t>
      </w:r>
      <w:proofErr w:type="spellEnd"/>
      <w:r>
        <w:t xml:space="preserve"> and Garden City is mitigated by careful site planning, including the positioning of buildings away from sensitive areas and the presence of broad roadways that reduce the impact on adjacent properties. For instance, the high-rise tower proposed at </w:t>
      </w:r>
      <w:proofErr w:type="spellStart"/>
      <w:r>
        <w:t>Karrinyup</w:t>
      </w:r>
      <w:proofErr w:type="spellEnd"/>
      <w:r>
        <w:t xml:space="preserve"> is located next to a Primary Distributor road with a central median, an outdoor carpark, and is sheltered by bushland. This minimizes the overshadowing and overlooking impacts on surrounding residential areas.</w:t>
      </w:r>
    </w:p>
    <w:p w14:paraId="7BC8FF3C" w14:textId="77777777" w:rsidR="00BF7C48" w:rsidRPr="00BF7C48" w:rsidRDefault="00BF7C48" w:rsidP="00BF7C48">
      <w:pPr>
        <w:pStyle w:val="NormalWeb"/>
        <w:ind w:left="720"/>
        <w:rPr>
          <w:rStyle w:val="Strong"/>
          <w:b w:val="0"/>
          <w:bCs w:val="0"/>
        </w:rPr>
      </w:pPr>
      <w:r>
        <w:t>In contrast, the APIL Group’s proposal for the Floreat Activity Centre places 18-20 story towers on the northern and southern extremities of the site, directly adjacent to low-density residential areas composed of single-story dwellings. This will lead to significant overshadowing and overlooking impacts that cannot be mitigated by the existing road network or surrounding environment. The Winter solstice studies included in the proposal already indicate unacceptable levels of overshadowing on key community areas, including the Floreat Park Primary School and nearby civic sporting facilities. The lack of a summer solstice study further exacerbates concerns about the full extent of these impacts. Such a design approach is incompatible with the surrounding residential character and is inconsistent with both local and state planning policies.</w:t>
      </w:r>
    </w:p>
    <w:p w14:paraId="68F49BC1" w14:textId="77777777" w:rsidR="00F10A4D" w:rsidRDefault="00F10A4D" w:rsidP="00F10A4D">
      <w:pPr>
        <w:pStyle w:val="NormalWeb"/>
        <w:numPr>
          <w:ilvl w:val="0"/>
          <w:numId w:val="1"/>
        </w:numPr>
        <w:rPr>
          <w:color w:val="000000"/>
        </w:rPr>
      </w:pPr>
      <w:r>
        <w:rPr>
          <w:rStyle w:val="Strong"/>
          <w:color w:val="000000"/>
        </w:rPr>
        <w:t>Surrounding Land Uses and Character:</w:t>
      </w:r>
      <w:r>
        <w:rPr>
          <w:rStyle w:val="apple-converted-space"/>
          <w:color w:val="000000"/>
        </w:rPr>
        <w:t> </w:t>
      </w:r>
      <w:r>
        <w:rPr>
          <w:color w:val="000000"/>
        </w:rPr>
        <w:t xml:space="preserve">The areas surrounding </w:t>
      </w:r>
      <w:proofErr w:type="spellStart"/>
      <w:r>
        <w:rPr>
          <w:color w:val="000000"/>
        </w:rPr>
        <w:t>Karrinyup</w:t>
      </w:r>
      <w:proofErr w:type="spellEnd"/>
      <w:r>
        <w:rPr>
          <w:color w:val="000000"/>
        </w:rPr>
        <w:t xml:space="preserve"> and Garden City include a mix of high-density residential developments and commercial zones, which are compatible with the large-scale developments within these centres. These developments are set within a context that includes other high-rise buildings, extensive carparks, and broad road networks, all of which contribute to an environment where high-rise development feels appropriate and in context. In stark contrast, the Floreat Activity Centre is surrounded by low-density residential areas characterized by single-story, mid-century homes with a garden suburb feel. The introduction of high-rise towers in Floreat, as proposed by the APIL Group, would create a jarring and incompatible transition with the surrounding residential area, detracting from the suburb’s established character and potentially leading to negative community outcomes.</w:t>
      </w:r>
    </w:p>
    <w:p w14:paraId="0B0817CE" w14:textId="77777777" w:rsidR="00F10A4D" w:rsidRDefault="00F10A4D" w:rsidP="00F10A4D">
      <w:pPr>
        <w:pStyle w:val="NormalWeb"/>
        <w:numPr>
          <w:ilvl w:val="0"/>
          <w:numId w:val="1"/>
        </w:numPr>
        <w:rPr>
          <w:color w:val="000000"/>
        </w:rPr>
      </w:pPr>
      <w:r>
        <w:rPr>
          <w:rStyle w:val="Strong"/>
          <w:color w:val="000000"/>
        </w:rPr>
        <w:t>Impact on Local Amenity and Community:</w:t>
      </w:r>
      <w:r>
        <w:rPr>
          <w:rStyle w:val="apple-converted-space"/>
          <w:color w:val="000000"/>
        </w:rPr>
        <w:t> </w:t>
      </w:r>
      <w:r>
        <w:rPr>
          <w:color w:val="000000"/>
        </w:rPr>
        <w:t xml:space="preserve">The developments at </w:t>
      </w:r>
      <w:proofErr w:type="spellStart"/>
      <w:r>
        <w:rPr>
          <w:color w:val="000000"/>
        </w:rPr>
        <w:t>Karrinyup</w:t>
      </w:r>
      <w:proofErr w:type="spellEnd"/>
      <w:r>
        <w:rPr>
          <w:color w:val="000000"/>
        </w:rPr>
        <w:t xml:space="preserve"> and Garden City have been designed to serve as regional hubs, attracting visitors from across the metropolitan area. This results in high foot traffic, significant commercial activity, and a bustling urban atmosphere, which is suitable for their roles as Secondary Centres. However, such an environment is not appropriate for the Floreat Activity Centre, which is intended to serve the local community with a more modest level of activity. The imposition of a large-scale development would significantly alter the local amenity, likely leading to increased traffic, noise, and congestion, all of which would be detrimental to the residential nature of the surrounding area. This is not in line with the expectations of the Floreat community, which values the suburb’s</w:t>
      </w:r>
      <w:r w:rsidR="00BF7C48">
        <w:rPr>
          <w:color w:val="000000"/>
        </w:rPr>
        <w:t xml:space="preserve"> </w:t>
      </w:r>
      <w:r>
        <w:rPr>
          <w:color w:val="000000"/>
        </w:rPr>
        <w:t>quieter, more relaxed atmosphere.</w:t>
      </w:r>
    </w:p>
    <w:p w14:paraId="5085E166" w14:textId="77777777" w:rsidR="00BF7C48" w:rsidRPr="00BF7C48" w:rsidRDefault="00BF7C48" w:rsidP="00BF7C48">
      <w:pPr>
        <w:pStyle w:val="NormalWeb"/>
        <w:numPr>
          <w:ilvl w:val="0"/>
          <w:numId w:val="1"/>
        </w:numPr>
      </w:pPr>
      <w:r>
        <w:rPr>
          <w:rStyle w:val="Strong"/>
        </w:rPr>
        <w:t>Mismatch with Community Expectations:</w:t>
      </w:r>
      <w:r>
        <w:rPr>
          <w:rStyle w:val="apple-converted-space"/>
        </w:rPr>
        <w:t> </w:t>
      </w:r>
      <w:r>
        <w:t xml:space="preserve">The local community in Floreat has expressed a clear preference for maintaining the suburb’s existing character, which is defined by low-rise, garden-suburb style developments. This preference is reflected in the Town of Cambridge’s Local Planning Strategy (LPS), which limits building heights to 6-8 stories and emphasizes the importance of placing residential density above the commercial centre, not at the peripheries where it would create jarring transitions with adjacent </w:t>
      </w:r>
      <w:proofErr w:type="spellStart"/>
      <w:r>
        <w:t>neighborhoods</w:t>
      </w:r>
      <w:proofErr w:type="spellEnd"/>
      <w:r>
        <w:t xml:space="preserve">. The high-rise development seen at </w:t>
      </w:r>
      <w:proofErr w:type="spellStart"/>
      <w:r>
        <w:lastRenderedPageBreak/>
        <w:t>Karrinyup</w:t>
      </w:r>
      <w:proofErr w:type="spellEnd"/>
      <w:r>
        <w:t xml:space="preserve"> and Garden City does not align with these expectations and would likely be met with significant community opposition if applied to Floreat.</w:t>
      </w:r>
    </w:p>
    <w:p w14:paraId="3B24DC4C" w14:textId="77777777" w:rsidR="00F10A4D" w:rsidRDefault="00F10A4D" w:rsidP="00F10A4D">
      <w:pPr>
        <w:pStyle w:val="NormalWeb"/>
        <w:numPr>
          <w:ilvl w:val="0"/>
          <w:numId w:val="1"/>
        </w:numPr>
        <w:rPr>
          <w:color w:val="000000"/>
        </w:rPr>
      </w:pPr>
      <w:r>
        <w:rPr>
          <w:rStyle w:val="Strong"/>
          <w:color w:val="000000"/>
        </w:rPr>
        <w:t>Lack of Precedent for High-Rise Development:</w:t>
      </w:r>
      <w:r>
        <w:rPr>
          <w:rStyle w:val="apple-converted-space"/>
          <w:color w:val="000000"/>
        </w:rPr>
        <w:t> </w:t>
      </w:r>
      <w:r>
        <w:rPr>
          <w:color w:val="000000"/>
        </w:rPr>
        <w:t xml:space="preserve">There is little precedent for high-rise development within the Floreat suburb or its immediate surroundings, unlike the areas surrounding </w:t>
      </w:r>
      <w:proofErr w:type="spellStart"/>
      <w:r>
        <w:rPr>
          <w:color w:val="000000"/>
        </w:rPr>
        <w:t>Karrinyup</w:t>
      </w:r>
      <w:proofErr w:type="spellEnd"/>
      <w:r>
        <w:rPr>
          <w:color w:val="000000"/>
        </w:rPr>
        <w:t xml:space="preserve"> and Garden City, where high-rise buildings are more common. This lack of precedent makes the proposal for 18-20 story towers in Floreat particularly concerning, as it represents a significant departure from the established built form of the area. Such a dramatic shift in building height and scale is likely to be viewed negatively by the local community and could lead to opposition, as well as potential declines in property values.</w:t>
      </w:r>
    </w:p>
    <w:p w14:paraId="10242C13" w14:textId="77777777" w:rsidR="00F10A4D" w:rsidRDefault="00F10A4D" w:rsidP="00F10A4D">
      <w:pPr>
        <w:pStyle w:val="NormalWeb"/>
        <w:rPr>
          <w:color w:val="000000"/>
        </w:rPr>
      </w:pPr>
      <w:r>
        <w:rPr>
          <w:color w:val="000000"/>
        </w:rPr>
        <w:t xml:space="preserve">In conclusion, while </w:t>
      </w:r>
      <w:proofErr w:type="spellStart"/>
      <w:r>
        <w:rPr>
          <w:color w:val="000000"/>
        </w:rPr>
        <w:t>Karrinyup</w:t>
      </w:r>
      <w:proofErr w:type="spellEnd"/>
      <w:r>
        <w:rPr>
          <w:color w:val="000000"/>
        </w:rPr>
        <w:t xml:space="preserve"> and Garden City serve as examples of successful large-scale developments within their respective contexts, these examples are not applicable to the Floreat Activity Centre. The significant differences in planning designation, transport infrastructure, surrounding land uses, and community expectations all indicate that the Floreat Activity Centre requires a more sensitive and contextually appropriate approach to development. It is essential that any plans for Floreat respect the local character and the intended role of the centre as outlined in the State Planning Policy and the Local Planning Strategy.</w:t>
      </w:r>
      <w:r w:rsidR="00BF7C48">
        <w:rPr>
          <w:color w:val="000000"/>
        </w:rPr>
        <w:t xml:space="preserve"> It is wholly unacceptable that the APIL Group claim these centres set precedent for the design of Floreat. </w:t>
      </w:r>
    </w:p>
    <w:p w14:paraId="56BB8DEC" w14:textId="77777777" w:rsidR="00DC0B5C" w:rsidRDefault="00F10A4D" w:rsidP="00DC0B5C">
      <w:pPr>
        <w:pStyle w:val="NormalWeb"/>
        <w:rPr>
          <w:color w:val="000000"/>
        </w:rPr>
      </w:pPr>
      <w:r>
        <w:rPr>
          <w:color w:val="000000"/>
        </w:rPr>
        <w:t xml:space="preserve">Thank you for considering these important distinctions as you evaluate the proposed Precinct Structure Plan for Floreat. </w:t>
      </w:r>
      <w:r w:rsidR="00DC0B5C">
        <w:rPr>
          <w:color w:val="000000"/>
        </w:rPr>
        <w:t xml:space="preserve">Due to the significant failures I’ve identified </w:t>
      </w:r>
      <w:r>
        <w:rPr>
          <w:color w:val="000000"/>
        </w:rPr>
        <w:t xml:space="preserve">I strongly recommend </w:t>
      </w:r>
      <w:r w:rsidRPr="00DC0B5C">
        <w:rPr>
          <w:color w:val="000000"/>
          <w:u w:val="single"/>
        </w:rPr>
        <w:t>APIL Group’s plan be rejected</w:t>
      </w:r>
      <w:r>
        <w:rPr>
          <w:color w:val="000000"/>
        </w:rPr>
        <w:t xml:space="preserve">. </w:t>
      </w:r>
    </w:p>
    <w:p w14:paraId="74407956" w14:textId="77777777" w:rsidR="00DC0B5C" w:rsidRPr="00DC0B5C" w:rsidRDefault="00DC0B5C" w:rsidP="00DC0B5C">
      <w:pPr>
        <w:pStyle w:val="NormalWeb"/>
        <w:rPr>
          <w:color w:val="000000"/>
        </w:rPr>
      </w:pPr>
      <w:r w:rsidRPr="00DC0B5C">
        <w:rPr>
          <w:color w:val="000000"/>
        </w:rPr>
        <w:t>I will fully support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Pr="00DC0B5C">
        <w:rPr>
          <w:color w:val="000000"/>
        </w:rPr>
        <w:t>ie</w:t>
      </w:r>
      <w:proofErr w:type="spellEnd"/>
      <w:r w:rsidRPr="00DC0B5C">
        <w:rPr>
          <w:color w:val="000000"/>
        </w:rPr>
        <w:t xml:space="preserve"> without a train station), which make it clear that high-rise towers are not appropriate for this site. </w:t>
      </w:r>
    </w:p>
    <w:p w14:paraId="687BD9F1" w14:textId="77777777" w:rsidR="00F10A4D" w:rsidRDefault="00F10A4D" w:rsidP="00F10A4D">
      <w:pPr>
        <w:pStyle w:val="NormalWeb"/>
        <w:rPr>
          <w:color w:val="000000"/>
        </w:rPr>
      </w:pPr>
      <w:r>
        <w:rPr>
          <w:color w:val="000000"/>
        </w:rPr>
        <w:t>Sincerely,</w:t>
      </w:r>
    </w:p>
    <w:p w14:paraId="7264DC92" w14:textId="77777777" w:rsidR="00F10A4D" w:rsidRDefault="00F10A4D" w:rsidP="00F10A4D">
      <w:pPr>
        <w:pStyle w:val="NormalWeb"/>
        <w:rPr>
          <w:color w:val="000000"/>
        </w:rPr>
      </w:pPr>
      <w:r>
        <w:rPr>
          <w:color w:val="000000"/>
        </w:rPr>
        <w:t>[Your Name]</w:t>
      </w:r>
      <w:r>
        <w:rPr>
          <w:color w:val="000000"/>
        </w:rPr>
        <w:br/>
        <w:t>[Your Position]</w:t>
      </w:r>
      <w:r>
        <w:rPr>
          <w:color w:val="000000"/>
        </w:rPr>
        <w:br/>
        <w:t>[Your Contact Information]</w:t>
      </w:r>
      <w:r>
        <w:rPr>
          <w:color w:val="000000"/>
        </w:rPr>
        <w:br/>
        <w:t>[insert statement if you wish your name to be removed from reporting for anonymity]</w:t>
      </w:r>
    </w:p>
    <w:p w14:paraId="226ECE11" w14:textId="77777777" w:rsidR="006711B7" w:rsidRPr="00F10A4D" w:rsidRDefault="006711B7" w:rsidP="00F10A4D"/>
    <w:sectPr w:rsidR="006711B7" w:rsidRPr="00F10A4D"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7FF624" w14:textId="77777777" w:rsidR="00130F3A" w:rsidRDefault="00130F3A" w:rsidP="00FB40A2">
      <w:r>
        <w:separator/>
      </w:r>
    </w:p>
  </w:endnote>
  <w:endnote w:type="continuationSeparator" w:id="0">
    <w:p w14:paraId="11B5971E" w14:textId="77777777" w:rsidR="00130F3A" w:rsidRDefault="00130F3A" w:rsidP="00FB4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FAFDF0" w14:textId="77777777" w:rsidR="00130F3A" w:rsidRDefault="00130F3A" w:rsidP="00FB40A2">
      <w:r>
        <w:separator/>
      </w:r>
    </w:p>
  </w:footnote>
  <w:footnote w:type="continuationSeparator" w:id="0">
    <w:p w14:paraId="4CAF2FF5" w14:textId="77777777" w:rsidR="00130F3A" w:rsidRDefault="00130F3A" w:rsidP="00FB40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DC3107"/>
    <w:multiLevelType w:val="multilevel"/>
    <w:tmpl w:val="133C36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837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A4D"/>
    <w:rsid w:val="00130F3A"/>
    <w:rsid w:val="002437FE"/>
    <w:rsid w:val="00344D7C"/>
    <w:rsid w:val="006711B7"/>
    <w:rsid w:val="00A7554F"/>
    <w:rsid w:val="00BF7C48"/>
    <w:rsid w:val="00DC0B5C"/>
    <w:rsid w:val="00F10A4D"/>
    <w:rsid w:val="00FB40A2"/>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9DF3D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A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0A4D"/>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10A4D"/>
    <w:rPr>
      <w:b/>
      <w:bCs/>
    </w:rPr>
  </w:style>
  <w:style w:type="character" w:customStyle="1" w:styleId="apple-converted-space">
    <w:name w:val="apple-converted-space"/>
    <w:basedOn w:val="DefaultParagraphFont"/>
    <w:rsid w:val="00F10A4D"/>
  </w:style>
  <w:style w:type="paragraph" w:styleId="Header">
    <w:name w:val="header"/>
    <w:basedOn w:val="Normal"/>
    <w:link w:val="HeaderChar"/>
    <w:uiPriority w:val="99"/>
    <w:unhideWhenUsed/>
    <w:rsid w:val="00FB40A2"/>
    <w:pPr>
      <w:tabs>
        <w:tab w:val="center" w:pos="4513"/>
        <w:tab w:val="right" w:pos="9026"/>
      </w:tabs>
    </w:pPr>
  </w:style>
  <w:style w:type="character" w:customStyle="1" w:styleId="HeaderChar">
    <w:name w:val="Header Char"/>
    <w:basedOn w:val="DefaultParagraphFont"/>
    <w:link w:val="Header"/>
    <w:uiPriority w:val="99"/>
    <w:rsid w:val="00FB40A2"/>
  </w:style>
  <w:style w:type="paragraph" w:styleId="Footer">
    <w:name w:val="footer"/>
    <w:basedOn w:val="Normal"/>
    <w:link w:val="FooterChar"/>
    <w:uiPriority w:val="99"/>
    <w:unhideWhenUsed/>
    <w:rsid w:val="00FB40A2"/>
    <w:pPr>
      <w:tabs>
        <w:tab w:val="center" w:pos="4513"/>
        <w:tab w:val="right" w:pos="9026"/>
      </w:tabs>
    </w:pPr>
  </w:style>
  <w:style w:type="character" w:customStyle="1" w:styleId="FooterChar">
    <w:name w:val="Footer Char"/>
    <w:basedOn w:val="DefaultParagraphFont"/>
    <w:link w:val="Footer"/>
    <w:uiPriority w:val="99"/>
    <w:rsid w:val="00FB40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5282570">
      <w:bodyDiv w:val="1"/>
      <w:marLeft w:val="0"/>
      <w:marRight w:val="0"/>
      <w:marTop w:val="0"/>
      <w:marBottom w:val="0"/>
      <w:divBdr>
        <w:top w:val="none" w:sz="0" w:space="0" w:color="auto"/>
        <w:left w:val="none" w:sz="0" w:space="0" w:color="auto"/>
        <w:bottom w:val="none" w:sz="0" w:space="0" w:color="auto"/>
        <w:right w:val="none" w:sz="0" w:space="0" w:color="auto"/>
      </w:divBdr>
    </w:div>
    <w:div w:id="1738673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1326</Words>
  <Characters>7560</Characters>
  <Application>Microsoft Office Word</Application>
  <DocSecurity>0</DocSecurity>
  <Lines>63</Lines>
  <Paragraphs>17</Paragraphs>
  <ScaleCrop>false</ScaleCrop>
  <Company/>
  <LinksUpToDate>false</LinksUpToDate>
  <CharactersWithSpaces>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2024-08-13T08:45:00Z</dcterms:created>
  <dcterms:modified xsi:type="dcterms:W3CDTF">2024-08-13T08:45:00Z</dcterms:modified>
</cp:coreProperties>
</file>