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0A93F1" w14:textId="77777777" w:rsidR="00781E66" w:rsidRPr="00F579A3"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b/>
          <w:bCs/>
          <w:color w:val="500050"/>
          <w:sz w:val="20"/>
          <w:szCs w:val="20"/>
          <w:lang w:eastAsia="en-GB"/>
        </w:rPr>
        <w:t>[</w:t>
      </w:r>
      <w:r w:rsidRPr="00F579A3">
        <w:rPr>
          <w:rFonts w:ascii="Century Gothic" w:eastAsia="Times New Roman" w:hAnsi="Century Gothic" w:cs="Times New Roman"/>
          <w:color w:val="000000"/>
          <w:sz w:val="20"/>
          <w:szCs w:val="20"/>
          <w:lang w:eastAsia="en-GB"/>
        </w:rPr>
        <w:t>Your Name]</w:t>
      </w:r>
      <w:r w:rsidRPr="00F579A3">
        <w:rPr>
          <w:rFonts w:ascii="Century Gothic" w:eastAsia="Times New Roman" w:hAnsi="Century Gothic" w:cs="Times New Roman"/>
          <w:color w:val="000000"/>
          <w:sz w:val="20"/>
          <w:szCs w:val="20"/>
          <w:lang w:eastAsia="en-GB"/>
        </w:rPr>
        <w:br/>
        <w:t>[Your Address]</w:t>
      </w:r>
      <w:r w:rsidRPr="00F579A3">
        <w:rPr>
          <w:rFonts w:ascii="Century Gothic" w:eastAsia="Times New Roman" w:hAnsi="Century Gothic" w:cs="Times New Roman"/>
          <w:color w:val="000000"/>
          <w:sz w:val="20"/>
          <w:szCs w:val="20"/>
          <w:lang w:eastAsia="en-GB"/>
        </w:rPr>
        <w:br/>
        <w:t>[City, State, ZIP Code]</w:t>
      </w:r>
      <w:r w:rsidRPr="00F579A3">
        <w:rPr>
          <w:rFonts w:ascii="Century Gothic" w:eastAsia="Times New Roman" w:hAnsi="Century Gothic" w:cs="Times New Roman"/>
          <w:color w:val="000000"/>
          <w:sz w:val="20"/>
          <w:szCs w:val="20"/>
          <w:lang w:eastAsia="en-GB"/>
        </w:rPr>
        <w:br/>
        <w:t>[Email Address]</w:t>
      </w:r>
      <w:r w:rsidRPr="00F579A3">
        <w:rPr>
          <w:rFonts w:ascii="Century Gothic" w:eastAsia="Times New Roman" w:hAnsi="Century Gothic" w:cs="Times New Roman"/>
          <w:color w:val="000000"/>
          <w:sz w:val="20"/>
          <w:szCs w:val="20"/>
          <w:lang w:eastAsia="en-GB"/>
        </w:rPr>
        <w:br/>
        <w:t>[Date]</w:t>
      </w:r>
    </w:p>
    <w:p w14:paraId="20DA4A76" w14:textId="77777777" w:rsidR="00781E66" w:rsidRPr="00781E66" w:rsidRDefault="00781E66" w:rsidP="00781E66">
      <w:pPr>
        <w:rPr>
          <w:rFonts w:ascii="Century Gothic" w:eastAsia="Times New Roman" w:hAnsi="Century Gothic" w:cs="Times New Roman"/>
          <w:color w:val="000000"/>
          <w:sz w:val="20"/>
          <w:szCs w:val="20"/>
          <w:lang w:eastAsia="en-GB"/>
        </w:rPr>
      </w:pPr>
    </w:p>
    <w:p w14:paraId="71675666" w14:textId="77777777" w:rsidR="00781E66" w:rsidRPr="00F579A3" w:rsidRDefault="009D43C0" w:rsidP="00F579A3">
      <w:pPr>
        <w:rPr>
          <w:rFonts w:ascii="Century Gothic" w:eastAsia="Times New Roman" w:hAnsi="Century Gothic" w:cs="Times New Roman"/>
          <w:color w:val="000000"/>
          <w:sz w:val="20"/>
          <w:szCs w:val="20"/>
          <w:lang w:eastAsia="en-GB"/>
        </w:rPr>
      </w:pPr>
      <w:r w:rsidRPr="00F579A3">
        <w:rPr>
          <w:rFonts w:ascii="Century Gothic" w:eastAsia="Times New Roman" w:hAnsi="Century Gothic" w:cs="Times New Roman"/>
          <w:b/>
          <w:bCs/>
          <w:sz w:val="20"/>
          <w:szCs w:val="20"/>
          <w:lang w:eastAsia="en-GB"/>
        </w:rPr>
        <w:t>Department of Planning, Lands and Heritage</w:t>
      </w:r>
      <w:r w:rsidRPr="00F579A3">
        <w:rPr>
          <w:rFonts w:ascii="Century Gothic" w:eastAsia="Times New Roman" w:hAnsi="Century Gothic" w:cs="Times New Roman"/>
          <w:color w:val="000000"/>
          <w:sz w:val="20"/>
          <w:szCs w:val="20"/>
          <w:lang w:eastAsia="en-GB"/>
        </w:rPr>
        <w:br/>
        <w:t>Attention Metro Central North team</w:t>
      </w:r>
      <w:r w:rsidRPr="00F579A3">
        <w:rPr>
          <w:rFonts w:ascii="Century Gothic" w:eastAsia="Times New Roman" w:hAnsi="Century Gothic" w:cs="Times New Roman"/>
          <w:color w:val="000000"/>
          <w:sz w:val="20"/>
          <w:szCs w:val="20"/>
          <w:lang w:eastAsia="en-GB"/>
        </w:rPr>
        <w:br/>
        <w:t>Locked Bag 2506</w:t>
      </w:r>
      <w:r w:rsidRPr="00F579A3">
        <w:rPr>
          <w:rFonts w:ascii="Century Gothic" w:eastAsia="Times New Roman" w:hAnsi="Century Gothic" w:cs="Times New Roman"/>
          <w:color w:val="000000"/>
          <w:sz w:val="20"/>
          <w:szCs w:val="20"/>
          <w:lang w:eastAsia="en-GB"/>
        </w:rPr>
        <w:br/>
        <w:t>Perth WA 6000</w:t>
      </w:r>
    </w:p>
    <w:p w14:paraId="246A767A" w14:textId="77777777" w:rsidR="00781E66" w:rsidRPr="00781E66" w:rsidRDefault="00781E66" w:rsidP="00781E66">
      <w:pPr>
        <w:rPr>
          <w:rFonts w:ascii="Century Gothic" w:eastAsia="Times New Roman" w:hAnsi="Century Gothic" w:cs="Arial"/>
          <w:color w:val="000000"/>
          <w:sz w:val="20"/>
          <w:szCs w:val="20"/>
          <w:lang w:eastAsia="en-GB"/>
        </w:rPr>
      </w:pPr>
    </w:p>
    <w:p w14:paraId="234FDDB2" w14:textId="77777777" w:rsidR="00781E66" w:rsidRDefault="00781E66" w:rsidP="00781E66">
      <w:pPr>
        <w:rPr>
          <w:rFonts w:ascii="Century Gothic" w:eastAsia="Times New Roman" w:hAnsi="Century Gothic" w:cs="Arial"/>
          <w:color w:val="000000"/>
          <w:sz w:val="20"/>
          <w:szCs w:val="20"/>
          <w:lang w:eastAsia="en-GB"/>
        </w:rPr>
      </w:pPr>
      <w:r w:rsidRPr="00781E66">
        <w:rPr>
          <w:rFonts w:ascii="Century Gothic" w:eastAsia="Times New Roman" w:hAnsi="Century Gothic" w:cs="Arial"/>
          <w:color w:val="000000"/>
          <w:sz w:val="20"/>
          <w:szCs w:val="20"/>
          <w:lang w:eastAsia="en-GB"/>
        </w:rPr>
        <w:t>To Whom It May Concern,</w:t>
      </w:r>
    </w:p>
    <w:p w14:paraId="49F8B20E" w14:textId="77777777" w:rsidR="009D43C0" w:rsidRDefault="009D43C0" w:rsidP="00781E66">
      <w:pPr>
        <w:rPr>
          <w:rFonts w:ascii="Century Gothic" w:eastAsia="Times New Roman" w:hAnsi="Century Gothic" w:cs="Arial"/>
          <w:color w:val="000000"/>
          <w:sz w:val="20"/>
          <w:szCs w:val="20"/>
          <w:lang w:eastAsia="en-GB"/>
        </w:rPr>
      </w:pPr>
    </w:p>
    <w:p w14:paraId="64D3AC5C" w14:textId="77777777" w:rsidR="009D43C0" w:rsidRPr="00781E66" w:rsidRDefault="009D43C0" w:rsidP="009D43C0">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b/>
          <w:bCs/>
          <w:color w:val="000000"/>
          <w:sz w:val="20"/>
          <w:szCs w:val="20"/>
          <w:lang w:eastAsia="en-GB"/>
        </w:rPr>
        <w:t xml:space="preserve">Subject: Detailed Submission </w:t>
      </w:r>
      <w:r w:rsidRPr="00F9711C">
        <w:rPr>
          <w:rFonts w:ascii="Century Gothic" w:eastAsia="Times New Roman" w:hAnsi="Century Gothic" w:cs="Times New Roman"/>
          <w:b/>
          <w:bCs/>
          <w:color w:val="000000"/>
          <w:sz w:val="20"/>
          <w:szCs w:val="20"/>
          <w:u w:val="single"/>
          <w:lang w:eastAsia="en-GB"/>
        </w:rPr>
        <w:t>Opposing</w:t>
      </w:r>
      <w:r w:rsidRPr="00781E66">
        <w:rPr>
          <w:rFonts w:ascii="Century Gothic" w:eastAsia="Times New Roman" w:hAnsi="Century Gothic" w:cs="Times New Roman"/>
          <w:b/>
          <w:bCs/>
          <w:color w:val="000000"/>
          <w:sz w:val="20"/>
          <w:szCs w:val="20"/>
          <w:lang w:eastAsia="en-GB"/>
        </w:rPr>
        <w:t xml:space="preserve"> the Proposed </w:t>
      </w:r>
      <w:r>
        <w:rPr>
          <w:rFonts w:ascii="Century Gothic" w:eastAsia="Times New Roman" w:hAnsi="Century Gothic" w:cs="Times New Roman"/>
          <w:b/>
          <w:bCs/>
          <w:color w:val="000000"/>
          <w:sz w:val="20"/>
          <w:szCs w:val="20"/>
          <w:lang w:eastAsia="en-GB"/>
        </w:rPr>
        <w:t>Precinct Structure Plan for</w:t>
      </w:r>
      <w:r w:rsidRPr="00781E66">
        <w:rPr>
          <w:rFonts w:ascii="Century Gothic" w:eastAsia="Times New Roman" w:hAnsi="Century Gothic" w:cs="Times New Roman"/>
          <w:b/>
          <w:bCs/>
          <w:color w:val="000000"/>
          <w:sz w:val="20"/>
          <w:szCs w:val="20"/>
          <w:lang w:eastAsia="en-GB"/>
        </w:rPr>
        <w:t xml:space="preserve"> Floreat </w:t>
      </w:r>
    </w:p>
    <w:p w14:paraId="27882721" w14:textId="77777777" w:rsidR="009D43C0" w:rsidRPr="00781E66" w:rsidRDefault="009D43C0" w:rsidP="00781E66">
      <w:pPr>
        <w:rPr>
          <w:rFonts w:ascii="Century Gothic" w:eastAsia="Times New Roman" w:hAnsi="Century Gothic" w:cs="Arial"/>
          <w:color w:val="000000"/>
          <w:sz w:val="20"/>
          <w:szCs w:val="20"/>
          <w:lang w:eastAsia="en-GB"/>
        </w:rPr>
      </w:pPr>
    </w:p>
    <w:p w14:paraId="2D51F16F" w14:textId="77777777" w:rsid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 xml:space="preserve">I am writing to formally submit my opposition to the Precinct Structure Plan (PSP) </w:t>
      </w:r>
      <w:r w:rsidR="009D43C0">
        <w:rPr>
          <w:rFonts w:ascii="Century Gothic" w:eastAsia="Times New Roman" w:hAnsi="Century Gothic" w:cs="Times New Roman"/>
          <w:color w:val="000000"/>
          <w:sz w:val="20"/>
          <w:szCs w:val="20"/>
          <w:lang w:eastAsia="en-GB"/>
        </w:rPr>
        <w:t xml:space="preserve">for Floreat proposed </w:t>
      </w:r>
      <w:r w:rsidRPr="00781E66">
        <w:rPr>
          <w:rFonts w:ascii="Century Gothic" w:eastAsia="Times New Roman" w:hAnsi="Century Gothic" w:cs="Times New Roman"/>
          <w:color w:val="000000"/>
          <w:sz w:val="20"/>
          <w:szCs w:val="20"/>
          <w:lang w:eastAsia="en-GB"/>
        </w:rPr>
        <w:t>by the APIL Group. My concerns are based on a thorough review of the proposal and its potential impact on our community. Below, I outline the specific reasons why I believe this development should not proceed.</w:t>
      </w:r>
      <w:r w:rsidR="009D43C0">
        <w:rPr>
          <w:rFonts w:ascii="Century Gothic" w:eastAsia="Times New Roman" w:hAnsi="Century Gothic" w:cs="Times New Roman"/>
          <w:color w:val="000000"/>
          <w:sz w:val="20"/>
          <w:szCs w:val="20"/>
          <w:lang w:eastAsia="en-GB"/>
        </w:rPr>
        <w:t xml:space="preserve"> To address my concerns the whole plan would need to be completely re-written - which is why I recommend it be outright rejected. </w:t>
      </w:r>
    </w:p>
    <w:p w14:paraId="3BA7FE00" w14:textId="77777777" w:rsidR="00781E66" w:rsidRPr="00781E66" w:rsidRDefault="00781E66" w:rsidP="00781E66">
      <w:pPr>
        <w:rPr>
          <w:rFonts w:ascii="Century Gothic" w:eastAsia="Times New Roman" w:hAnsi="Century Gothic" w:cs="Times New Roman"/>
          <w:color w:val="000000"/>
          <w:sz w:val="20"/>
          <w:szCs w:val="20"/>
          <w:lang w:eastAsia="en-GB"/>
        </w:rPr>
      </w:pPr>
    </w:p>
    <w:p w14:paraId="36C81533"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b/>
          <w:bCs/>
          <w:color w:val="000000"/>
          <w:sz w:val="20"/>
          <w:szCs w:val="20"/>
          <w:lang w:eastAsia="en-GB"/>
        </w:rPr>
        <w:t>1. Inconsistent with State and Local Planning Frameworks</w:t>
      </w:r>
    </w:p>
    <w:p w14:paraId="34E21F25"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The proposed development is inconsistent with both the Western Australian Planning Commission’s (WAPC) State Planning Policy 4.2 (Activity Centres for Perth and Peel) and the Town of Cambridge’s Local Planning Strategy (</w:t>
      </w:r>
      <w:r w:rsidR="00F579A3">
        <w:rPr>
          <w:rFonts w:ascii="Century Gothic" w:eastAsia="Times New Roman" w:hAnsi="Century Gothic" w:cs="Times New Roman"/>
          <w:color w:val="000000"/>
          <w:sz w:val="20"/>
          <w:szCs w:val="20"/>
          <w:lang w:eastAsia="en-GB"/>
        </w:rPr>
        <w:t xml:space="preserve">LPS, </w:t>
      </w:r>
      <w:r w:rsidRPr="00781E66">
        <w:rPr>
          <w:rFonts w:ascii="Century Gothic" w:eastAsia="Times New Roman" w:hAnsi="Century Gothic" w:cs="Times New Roman"/>
          <w:color w:val="000000"/>
          <w:sz w:val="20"/>
          <w:szCs w:val="20"/>
          <w:lang w:eastAsia="en-GB"/>
        </w:rPr>
        <w:t>2021). These frameworks designate Floreat Forum as a District Centre, which is intended to support mid-rise development, typically capped at 6 stories. The proposal for multiple towers of up to 20 stories is a clear deviation from these guidelines and is out of character with the surrounding low-rise residential area.</w:t>
      </w:r>
    </w:p>
    <w:p w14:paraId="61D18B35" w14:textId="77777777" w:rsidR="00F579A3" w:rsidRDefault="00F579A3" w:rsidP="00781E66">
      <w:pPr>
        <w:rPr>
          <w:rFonts w:ascii="Century Gothic" w:eastAsia="Times New Roman" w:hAnsi="Century Gothic" w:cs="Times New Roman"/>
          <w:color w:val="000000"/>
          <w:sz w:val="20"/>
          <w:szCs w:val="20"/>
          <w:lang w:eastAsia="en-GB"/>
        </w:rPr>
      </w:pPr>
    </w:p>
    <w:p w14:paraId="3ED65602" w14:textId="77777777" w:rsid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 xml:space="preserve">The </w:t>
      </w:r>
      <w:r w:rsidR="00F579A3">
        <w:rPr>
          <w:rFonts w:ascii="Century Gothic" w:eastAsia="Times New Roman" w:hAnsi="Century Gothic" w:cs="Times New Roman"/>
          <w:color w:val="000000"/>
          <w:sz w:val="20"/>
          <w:szCs w:val="20"/>
          <w:lang w:eastAsia="en-GB"/>
        </w:rPr>
        <w:t>LPS</w:t>
      </w:r>
      <w:r w:rsidRPr="00781E66">
        <w:rPr>
          <w:rFonts w:ascii="Century Gothic" w:eastAsia="Times New Roman" w:hAnsi="Century Gothic" w:cs="Times New Roman"/>
          <w:color w:val="000000"/>
          <w:sz w:val="20"/>
          <w:szCs w:val="20"/>
          <w:lang w:eastAsia="en-GB"/>
        </w:rPr>
        <w:t xml:space="preserve"> which was endorsed by the WAPC</w:t>
      </w:r>
      <w:r w:rsidR="009D43C0">
        <w:rPr>
          <w:rFonts w:ascii="Century Gothic" w:eastAsia="Times New Roman" w:hAnsi="Century Gothic" w:cs="Times New Roman"/>
          <w:color w:val="000000"/>
          <w:sz w:val="20"/>
          <w:szCs w:val="20"/>
          <w:lang w:eastAsia="en-GB"/>
        </w:rPr>
        <w:t xml:space="preserve"> in 2021</w:t>
      </w:r>
      <w:r w:rsidRPr="00781E66">
        <w:rPr>
          <w:rFonts w:ascii="Century Gothic" w:eastAsia="Times New Roman" w:hAnsi="Century Gothic" w:cs="Times New Roman"/>
          <w:color w:val="000000"/>
          <w:sz w:val="20"/>
          <w:szCs w:val="20"/>
          <w:lang w:eastAsia="en-GB"/>
        </w:rPr>
        <w:t>, specifically states that the maximum building height should not exceed 8 stories, and that any residential density should be concentrated above the existing retail and commercial centre. The APIL Group’s plan, however, proposes high-rise towers without placing any density above the shopping centre, which further conflicts with the strategy and undermines the integrity of the planning framework.</w:t>
      </w:r>
    </w:p>
    <w:p w14:paraId="3FAE57D4" w14:textId="77777777" w:rsidR="00781E66" w:rsidRPr="00781E66" w:rsidRDefault="00781E66" w:rsidP="00781E66">
      <w:pPr>
        <w:rPr>
          <w:rFonts w:ascii="Century Gothic" w:eastAsia="Times New Roman" w:hAnsi="Century Gothic" w:cs="Times New Roman"/>
          <w:color w:val="000000"/>
          <w:sz w:val="20"/>
          <w:szCs w:val="20"/>
          <w:lang w:eastAsia="en-GB"/>
        </w:rPr>
      </w:pPr>
    </w:p>
    <w:p w14:paraId="1E6C3656"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b/>
          <w:bCs/>
          <w:color w:val="000000"/>
          <w:sz w:val="20"/>
          <w:szCs w:val="20"/>
          <w:lang w:eastAsia="en-GB"/>
        </w:rPr>
        <w:t>2. Negative Impact on Local Character and Amenity</w:t>
      </w:r>
    </w:p>
    <w:p w14:paraId="386D3E4F"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The scale of the proposed development is entirely out of sync with the existing character of Floreat. The surrounding suburb consists predominantly of single-story dwellings, and the introduction of high-rise towers would significantly alter the area's established sense of place. This discordant scale will lead to a loss of the garden suburb feel that Floreat is known for and diminish the overall amenity for both current and future residents.</w:t>
      </w:r>
    </w:p>
    <w:p w14:paraId="51FC37F6" w14:textId="77777777" w:rsidR="00F579A3" w:rsidRDefault="00F579A3" w:rsidP="00781E66">
      <w:pPr>
        <w:rPr>
          <w:rFonts w:ascii="Century Gothic" w:eastAsia="Times New Roman" w:hAnsi="Century Gothic" w:cs="Times New Roman"/>
          <w:color w:val="000000"/>
          <w:sz w:val="20"/>
          <w:szCs w:val="20"/>
          <w:lang w:eastAsia="en-GB"/>
        </w:rPr>
      </w:pPr>
    </w:p>
    <w:p w14:paraId="53FBBB59" w14:textId="77777777" w:rsid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The proposal fails to respect the local context by placing the highest towers at the northern and southern extremities of the site, where they will have the greatest impact on adjacent residential areas. This lack of transition between the new development and existing homes will result in significant overlooking and overshadowing, particularly affecting properties to the south-west, as well as the Floreat Park Primary School and nearby civic and sporting facilities.</w:t>
      </w:r>
    </w:p>
    <w:p w14:paraId="7B4F1D25" w14:textId="77777777" w:rsidR="00781E66" w:rsidRPr="00781E66" w:rsidRDefault="00781E66" w:rsidP="00781E66">
      <w:pPr>
        <w:rPr>
          <w:rFonts w:ascii="Century Gothic" w:eastAsia="Times New Roman" w:hAnsi="Century Gothic" w:cs="Times New Roman"/>
          <w:color w:val="000000"/>
          <w:sz w:val="20"/>
          <w:szCs w:val="20"/>
          <w:lang w:eastAsia="en-GB"/>
        </w:rPr>
      </w:pPr>
    </w:p>
    <w:p w14:paraId="251E1026"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b/>
          <w:bCs/>
          <w:color w:val="000000"/>
          <w:sz w:val="20"/>
          <w:szCs w:val="20"/>
          <w:lang w:eastAsia="en-GB"/>
        </w:rPr>
        <w:t>3. Traffic and Infrastructure Concerns</w:t>
      </w:r>
    </w:p>
    <w:p w14:paraId="0D5E5773"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 xml:space="preserve">The traffic impact assessment provided by the APIL Group is inadequate and based on outdated data. The report does not account for the full extent of the proposed development and its likely effects on the local road network, which is already operating near or above capacity, particularly on The Boulevard. The suggestion that the existing </w:t>
      </w:r>
      <w:r w:rsidRPr="00781E66">
        <w:rPr>
          <w:rFonts w:ascii="Century Gothic" w:eastAsia="Times New Roman" w:hAnsi="Century Gothic" w:cs="Times New Roman"/>
          <w:color w:val="000000"/>
          <w:sz w:val="20"/>
          <w:szCs w:val="20"/>
          <w:lang w:eastAsia="en-GB"/>
        </w:rPr>
        <w:lastRenderedPageBreak/>
        <w:t>infrastructure can accommodate the increased traffic volumes without substantial upgrades is both misleading and unsupported by current traffic conditions.</w:t>
      </w:r>
    </w:p>
    <w:p w14:paraId="774DA1DA" w14:textId="77777777" w:rsidR="00F579A3" w:rsidRDefault="00F579A3" w:rsidP="00781E66">
      <w:pPr>
        <w:rPr>
          <w:rFonts w:ascii="Century Gothic" w:eastAsia="Times New Roman" w:hAnsi="Century Gothic" w:cs="Times New Roman"/>
          <w:color w:val="000000"/>
          <w:sz w:val="20"/>
          <w:szCs w:val="20"/>
          <w:lang w:eastAsia="en-GB"/>
        </w:rPr>
      </w:pPr>
    </w:p>
    <w:p w14:paraId="7847288B" w14:textId="77777777" w:rsid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Moreover, the proposal makes no substantial provision for improving public transport services, which are crucial to supporting the increased residential density. The Public Transport Authority (PTA) has indicated that no additional services are planned, meaning the development will rely heavily on private vehicles, exacerbating traffic congestion and parking issues. Without a commitment to significantly enhance public transport, the reduced parking provisions proposed in the plan are unacceptable and will likely lead to overflow parking in surrounding residential streets.</w:t>
      </w:r>
    </w:p>
    <w:p w14:paraId="5CEB628B" w14:textId="77777777" w:rsidR="00781E66" w:rsidRPr="00781E66" w:rsidRDefault="00781E66" w:rsidP="00781E66">
      <w:pPr>
        <w:rPr>
          <w:rFonts w:ascii="Century Gothic" w:eastAsia="Times New Roman" w:hAnsi="Century Gothic" w:cs="Times New Roman"/>
          <w:color w:val="000000"/>
          <w:sz w:val="20"/>
          <w:szCs w:val="20"/>
          <w:lang w:eastAsia="en-GB"/>
        </w:rPr>
      </w:pPr>
    </w:p>
    <w:p w14:paraId="4D3046B0"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b/>
          <w:bCs/>
          <w:color w:val="000000"/>
          <w:sz w:val="20"/>
          <w:szCs w:val="20"/>
          <w:lang w:eastAsia="en-GB"/>
        </w:rPr>
        <w:t>4. Environmental and Microclimate Impacts</w:t>
      </w:r>
    </w:p>
    <w:p w14:paraId="50149FC2"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The proposed development also raises significant environmental concerns, particularly regarding its potential to create an urban heat island effect. The APIL Group has only committed to providing the bare minimum of deep soil areas (10%), which is insufficient to mitigate the heat retention caused by such a dense development. Additionally, the lack of redevelopment of the shopping centre site itself means that this area will only achieve 8.7% deep soil coverage, further exacerbating the issue.</w:t>
      </w:r>
    </w:p>
    <w:p w14:paraId="4241BCCE" w14:textId="77777777" w:rsidR="00F579A3" w:rsidRDefault="00F579A3" w:rsidP="00781E66">
      <w:pPr>
        <w:rPr>
          <w:rFonts w:ascii="Century Gothic" w:eastAsia="Times New Roman" w:hAnsi="Century Gothic" w:cs="Times New Roman"/>
          <w:color w:val="000000"/>
          <w:sz w:val="20"/>
          <w:szCs w:val="20"/>
          <w:lang w:eastAsia="en-GB"/>
        </w:rPr>
      </w:pPr>
    </w:p>
    <w:p w14:paraId="6EF4F0D1" w14:textId="77777777" w:rsid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State Planning Policy 7.2 (Precinct Design) outlines the need for development to carefully consider its impact on the microclimate, including factors such as overshadowing and wind tunnel effects. The proposed towers’ height and placement increase the risk of creating wind tunnels, which have not been adequately addressed in the PSP. Furthermore, the overshadowing studies provided by the APIL Group fail to consider the full seasonal impact, particularly during the summer solstice, when the overshadowing of the primary school and residential areas to the east could be significant.</w:t>
      </w:r>
    </w:p>
    <w:p w14:paraId="45C774CA" w14:textId="77777777" w:rsidR="00781E66" w:rsidRPr="00781E66" w:rsidRDefault="00781E66" w:rsidP="00781E66">
      <w:pPr>
        <w:rPr>
          <w:rFonts w:ascii="Century Gothic" w:eastAsia="Times New Roman" w:hAnsi="Century Gothic" w:cs="Times New Roman"/>
          <w:color w:val="000000"/>
          <w:sz w:val="20"/>
          <w:szCs w:val="20"/>
          <w:lang w:eastAsia="en-GB"/>
        </w:rPr>
      </w:pPr>
    </w:p>
    <w:p w14:paraId="0FD854C2"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b/>
          <w:bCs/>
          <w:color w:val="000000"/>
          <w:sz w:val="20"/>
          <w:szCs w:val="20"/>
          <w:lang w:eastAsia="en-GB"/>
        </w:rPr>
        <w:t>5. Overlooking and Privacy Concerns</w:t>
      </w:r>
    </w:p>
    <w:p w14:paraId="7938551D" w14:textId="77777777" w:rsid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The placement of 20-story towers adjacent to Floreat Park Primary School raises serious concerns about the privacy and security of students. The height and proximity of these buildings will create direct lines of sight into the school grounds, which is unacceptable. The proposal does not include sufficient measures to mitigate these impacts, such as repositioning buildings or introducing buffer zones. The failure to address these concerns adequately undermines the proposal’s suitability for the site.</w:t>
      </w:r>
    </w:p>
    <w:p w14:paraId="0126340C" w14:textId="77777777" w:rsidR="00781E66" w:rsidRPr="00781E66" w:rsidRDefault="00781E66" w:rsidP="00781E66">
      <w:pPr>
        <w:rPr>
          <w:rFonts w:ascii="Century Gothic" w:eastAsia="Times New Roman" w:hAnsi="Century Gothic" w:cs="Times New Roman"/>
          <w:color w:val="000000"/>
          <w:sz w:val="20"/>
          <w:szCs w:val="20"/>
          <w:lang w:eastAsia="en-GB"/>
        </w:rPr>
      </w:pPr>
    </w:p>
    <w:p w14:paraId="31A7633D"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b/>
          <w:bCs/>
          <w:color w:val="000000"/>
          <w:sz w:val="20"/>
          <w:szCs w:val="20"/>
          <w:lang w:eastAsia="en-GB"/>
        </w:rPr>
        <w:t>6. Lack of Transparency and Inadequate Community Consultation</w:t>
      </w:r>
    </w:p>
    <w:p w14:paraId="7D96DB72"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The APIL Group has not been transparent in outlining the full extent of the proposed development, particularly regarding the future of the shopping centre. This lack of clarity prevents a thorough assessment of the cumulative impact of the development on traffic, infrastructure, and community amenity. Furthermore, the community consultation process was minimal and did not reflect the scale or significance of the proposed changes. The single online survey conducted in 2022 is insufficient for a development of this magnitude, and the results do not accurately represent the community’s concerns or preferences.</w:t>
      </w:r>
    </w:p>
    <w:p w14:paraId="1F6DAA47"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 xml:space="preserve">In contrast, the Town of Cambridge conducted extensive consultation as part of the </w:t>
      </w:r>
      <w:r w:rsidR="00F579A3">
        <w:rPr>
          <w:rFonts w:ascii="Century Gothic" w:eastAsia="Times New Roman" w:hAnsi="Century Gothic" w:cs="Times New Roman"/>
          <w:color w:val="000000"/>
          <w:sz w:val="20"/>
          <w:szCs w:val="20"/>
          <w:lang w:eastAsia="en-GB"/>
        </w:rPr>
        <w:t>LPS</w:t>
      </w:r>
      <w:r w:rsidRPr="00781E66">
        <w:rPr>
          <w:rFonts w:ascii="Century Gothic" w:eastAsia="Times New Roman" w:hAnsi="Century Gothic" w:cs="Times New Roman"/>
          <w:color w:val="000000"/>
          <w:sz w:val="20"/>
          <w:szCs w:val="20"/>
          <w:lang w:eastAsia="en-GB"/>
        </w:rPr>
        <w:t xml:space="preserve"> development, which clearly indicated a preference for mid-rise development and the retention of key community assets, such as the library. The APIL Group’s plan disregards these community priorities, further highlighting the disconnect between the proposal and the community’s vision for the future of Floreat Forum.</w:t>
      </w:r>
    </w:p>
    <w:p w14:paraId="4D2A196B" w14:textId="77777777" w:rsidR="00781E66" w:rsidRDefault="00781E66" w:rsidP="00781E66">
      <w:pPr>
        <w:rPr>
          <w:rFonts w:ascii="Century Gothic" w:eastAsia="Times New Roman" w:hAnsi="Century Gothic" w:cs="Times New Roman"/>
          <w:b/>
          <w:bCs/>
          <w:color w:val="000000"/>
          <w:sz w:val="20"/>
          <w:szCs w:val="20"/>
          <w:lang w:eastAsia="en-GB"/>
        </w:rPr>
      </w:pPr>
    </w:p>
    <w:p w14:paraId="631DFD7A" w14:textId="77777777" w:rsidR="00781E66" w:rsidRP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b/>
          <w:bCs/>
          <w:color w:val="000000"/>
          <w:sz w:val="20"/>
          <w:szCs w:val="20"/>
          <w:lang w:eastAsia="en-GB"/>
        </w:rPr>
        <w:t>Conclusion</w:t>
      </w:r>
    </w:p>
    <w:p w14:paraId="109228D6" w14:textId="77777777" w:rsid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t>In conclusion, the proposed development at Floreat is fundamentally flawed and inconsistent with both state and local planning frameworks. It poses significant risks to the local character, amenity, traffic, infrastructure, and environmental sustainability of the area. Most importantly, it fails to reflect the needs and desires of the community it will directly affect.</w:t>
      </w:r>
    </w:p>
    <w:p w14:paraId="5235425A" w14:textId="77777777" w:rsidR="009D43C0" w:rsidRPr="00781E66" w:rsidRDefault="009D43C0" w:rsidP="00781E66">
      <w:pPr>
        <w:rPr>
          <w:rFonts w:ascii="Century Gothic" w:eastAsia="Times New Roman" w:hAnsi="Century Gothic" w:cs="Times New Roman"/>
          <w:color w:val="000000"/>
          <w:sz w:val="20"/>
          <w:szCs w:val="20"/>
          <w:lang w:eastAsia="en-GB"/>
        </w:rPr>
      </w:pPr>
    </w:p>
    <w:p w14:paraId="603F61C4" w14:textId="77777777" w:rsidR="00781E66" w:rsidRDefault="00781E66" w:rsidP="00781E66">
      <w:pPr>
        <w:rPr>
          <w:rFonts w:ascii="Century Gothic" w:eastAsia="Times New Roman" w:hAnsi="Century Gothic" w:cs="Times New Roman"/>
          <w:color w:val="000000"/>
          <w:sz w:val="20"/>
          <w:szCs w:val="20"/>
          <w:lang w:eastAsia="en-GB"/>
        </w:rPr>
      </w:pPr>
      <w:r w:rsidRPr="00781E66">
        <w:rPr>
          <w:rFonts w:ascii="Century Gothic" w:eastAsia="Times New Roman" w:hAnsi="Century Gothic" w:cs="Times New Roman"/>
          <w:color w:val="000000"/>
          <w:sz w:val="20"/>
          <w:szCs w:val="20"/>
          <w:lang w:eastAsia="en-GB"/>
        </w:rPr>
        <w:lastRenderedPageBreak/>
        <w:t xml:space="preserve">I strongly urge the Department of Planning, Lands, and Heritage to </w:t>
      </w:r>
      <w:r w:rsidR="00F579A3" w:rsidRPr="00F579A3">
        <w:rPr>
          <w:rFonts w:ascii="Century Gothic" w:eastAsia="Times New Roman" w:hAnsi="Century Gothic" w:cs="Times New Roman"/>
          <w:color w:val="000000"/>
          <w:sz w:val="20"/>
          <w:szCs w:val="20"/>
          <w:u w:val="single"/>
          <w:lang w:eastAsia="en-GB"/>
        </w:rPr>
        <w:t>REJECT</w:t>
      </w:r>
      <w:r w:rsidRPr="00781E66">
        <w:rPr>
          <w:rFonts w:ascii="Century Gothic" w:eastAsia="Times New Roman" w:hAnsi="Century Gothic" w:cs="Times New Roman"/>
          <w:color w:val="000000"/>
          <w:sz w:val="20"/>
          <w:szCs w:val="20"/>
          <w:lang w:eastAsia="en-GB"/>
        </w:rPr>
        <w:t xml:space="preserve"> this proposal and to require any future development plans to adhere to the guidelines established in the </w:t>
      </w:r>
      <w:r w:rsidR="00F579A3">
        <w:rPr>
          <w:rFonts w:ascii="Century Gothic" w:eastAsia="Times New Roman" w:hAnsi="Century Gothic" w:cs="Times New Roman"/>
          <w:color w:val="000000"/>
          <w:sz w:val="20"/>
          <w:szCs w:val="20"/>
          <w:lang w:eastAsia="en-GB"/>
        </w:rPr>
        <w:t>LPS</w:t>
      </w:r>
      <w:r w:rsidRPr="00781E66">
        <w:rPr>
          <w:rFonts w:ascii="Century Gothic" w:eastAsia="Times New Roman" w:hAnsi="Century Gothic" w:cs="Times New Roman"/>
          <w:color w:val="000000"/>
          <w:sz w:val="20"/>
          <w:szCs w:val="20"/>
          <w:lang w:eastAsia="en-GB"/>
        </w:rPr>
        <w:t xml:space="preserve"> and State Planning Policies. Floreat deserves a development that enhances, rather than detracts from, its unique character and </w:t>
      </w:r>
      <w:r w:rsidR="009D43C0">
        <w:rPr>
          <w:rFonts w:ascii="Century Gothic" w:eastAsia="Times New Roman" w:hAnsi="Century Gothic" w:cs="Times New Roman"/>
          <w:color w:val="000000"/>
          <w:sz w:val="20"/>
          <w:szCs w:val="20"/>
          <w:lang w:eastAsia="en-GB"/>
        </w:rPr>
        <w:t>amenity</w:t>
      </w:r>
      <w:r w:rsidRPr="00781E66">
        <w:rPr>
          <w:rFonts w:ascii="Century Gothic" w:eastAsia="Times New Roman" w:hAnsi="Century Gothic" w:cs="Times New Roman"/>
          <w:color w:val="000000"/>
          <w:sz w:val="20"/>
          <w:szCs w:val="20"/>
          <w:lang w:eastAsia="en-GB"/>
        </w:rPr>
        <w:t>.</w:t>
      </w:r>
    </w:p>
    <w:p w14:paraId="7A968BB1" w14:textId="77777777" w:rsidR="00F579A3" w:rsidRDefault="00F579A3" w:rsidP="00F579A3">
      <w:pPr>
        <w:rPr>
          <w:rFonts w:ascii="Century Gothic" w:eastAsia="Times New Roman" w:hAnsi="Century Gothic" w:cs="Times New Roman"/>
          <w:color w:val="000000"/>
          <w:sz w:val="20"/>
          <w:szCs w:val="20"/>
          <w:lang w:eastAsia="en-GB"/>
        </w:rPr>
      </w:pPr>
    </w:p>
    <w:p w14:paraId="7C7A104A" w14:textId="77777777" w:rsidR="007F1C02" w:rsidRPr="007F1C02" w:rsidRDefault="007F1C02" w:rsidP="007F1C02">
      <w:pPr>
        <w:rPr>
          <w:rFonts w:ascii="Century Gothic" w:eastAsia="Times New Roman" w:hAnsi="Century Gothic" w:cs="Times New Roman"/>
          <w:color w:val="000000"/>
          <w:sz w:val="20"/>
          <w:szCs w:val="20"/>
          <w:lang w:eastAsia="en-GB"/>
        </w:rPr>
      </w:pPr>
      <w:r w:rsidRPr="007F1C02">
        <w:rPr>
          <w:rFonts w:ascii="Century Gothic" w:eastAsia="Times New Roman" w:hAnsi="Century Gothic" w:cs="Times New Roman"/>
          <w:color w:val="000000"/>
          <w:sz w:val="20"/>
          <w:szCs w:val="20"/>
          <w:lang w:eastAsia="en-GB"/>
        </w:rPr>
        <w:t xml:space="preserve">I will fully support the development of the Floreat Activity Centre that includes density built above the shopping centre up to 8 stories, and height limited to 8 stories across the Floreat Forum site as contemplated by the </w:t>
      </w:r>
      <w:r>
        <w:rPr>
          <w:rFonts w:ascii="Century Gothic" w:eastAsia="Times New Roman" w:hAnsi="Century Gothic" w:cs="Times New Roman"/>
          <w:color w:val="000000"/>
          <w:sz w:val="20"/>
          <w:szCs w:val="20"/>
          <w:lang w:eastAsia="en-GB"/>
        </w:rPr>
        <w:t>LPS</w:t>
      </w:r>
      <w:r w:rsidRPr="007F1C02">
        <w:rPr>
          <w:rFonts w:ascii="Century Gothic" w:eastAsia="Times New Roman" w:hAnsi="Century Gothic" w:cs="Times New Roman"/>
          <w:color w:val="000000"/>
          <w:sz w:val="20"/>
          <w:szCs w:val="20"/>
          <w:lang w:eastAsia="en-GB"/>
        </w:rPr>
        <w:t>. I support the planning controls set out in the State Planning Framework that govern District Centres like Floreat (</w:t>
      </w:r>
      <w:proofErr w:type="spellStart"/>
      <w:r w:rsidRPr="007F1C02">
        <w:rPr>
          <w:rFonts w:ascii="Century Gothic" w:eastAsia="Times New Roman" w:hAnsi="Century Gothic" w:cs="Times New Roman"/>
          <w:color w:val="000000"/>
          <w:sz w:val="20"/>
          <w:szCs w:val="20"/>
          <w:lang w:eastAsia="en-GB"/>
        </w:rPr>
        <w:t>ie</w:t>
      </w:r>
      <w:proofErr w:type="spellEnd"/>
      <w:r w:rsidRPr="007F1C02">
        <w:rPr>
          <w:rFonts w:ascii="Century Gothic" w:eastAsia="Times New Roman" w:hAnsi="Century Gothic" w:cs="Times New Roman"/>
          <w:color w:val="000000"/>
          <w:sz w:val="20"/>
          <w:szCs w:val="20"/>
          <w:lang w:eastAsia="en-GB"/>
        </w:rPr>
        <w:t xml:space="preserve"> without a train station), which make it clear that high-rise towers are not appropriate for this site. </w:t>
      </w:r>
    </w:p>
    <w:p w14:paraId="71CFE4FC" w14:textId="77777777" w:rsidR="00F579A3" w:rsidRPr="00781E66" w:rsidRDefault="00F579A3" w:rsidP="00781E66">
      <w:pPr>
        <w:rPr>
          <w:rFonts w:ascii="Century Gothic" w:eastAsia="Times New Roman" w:hAnsi="Century Gothic" w:cs="Times New Roman"/>
          <w:color w:val="000000"/>
          <w:sz w:val="20"/>
          <w:szCs w:val="20"/>
          <w:lang w:eastAsia="en-GB"/>
        </w:rPr>
      </w:pPr>
    </w:p>
    <w:p w14:paraId="4F908C5C" w14:textId="77777777" w:rsidR="009D43C0" w:rsidRDefault="009D43C0" w:rsidP="00781E66">
      <w:pPr>
        <w:rPr>
          <w:rFonts w:ascii="Century Gothic" w:eastAsia="Times New Roman" w:hAnsi="Century Gothic" w:cs="Arial"/>
          <w:color w:val="000000"/>
          <w:sz w:val="20"/>
          <w:szCs w:val="20"/>
          <w:lang w:eastAsia="en-GB"/>
        </w:rPr>
      </w:pPr>
    </w:p>
    <w:p w14:paraId="77658627" w14:textId="77777777" w:rsidR="00781E66" w:rsidRPr="00781E66" w:rsidRDefault="00781E66" w:rsidP="00781E66">
      <w:pPr>
        <w:rPr>
          <w:rFonts w:ascii="Century Gothic" w:eastAsia="Times New Roman" w:hAnsi="Century Gothic" w:cs="Arial"/>
          <w:color w:val="000000"/>
          <w:sz w:val="20"/>
          <w:szCs w:val="20"/>
          <w:lang w:eastAsia="en-GB"/>
        </w:rPr>
      </w:pPr>
      <w:r w:rsidRPr="00781E66">
        <w:rPr>
          <w:rFonts w:ascii="Century Gothic" w:eastAsia="Times New Roman" w:hAnsi="Century Gothic" w:cs="Arial"/>
          <w:color w:val="000000"/>
          <w:sz w:val="20"/>
          <w:szCs w:val="20"/>
          <w:lang w:eastAsia="en-GB"/>
        </w:rPr>
        <w:t>Thank you for considering my submission.</w:t>
      </w:r>
    </w:p>
    <w:p w14:paraId="0CD8731E" w14:textId="77777777" w:rsidR="009D43C0" w:rsidRDefault="00781E66" w:rsidP="00781E66">
      <w:pPr>
        <w:rPr>
          <w:rFonts w:ascii="Century Gothic" w:eastAsia="Times New Roman" w:hAnsi="Century Gothic" w:cs="Arial"/>
          <w:color w:val="000000"/>
          <w:sz w:val="20"/>
          <w:szCs w:val="20"/>
          <w:lang w:eastAsia="en-GB"/>
        </w:rPr>
      </w:pPr>
      <w:r w:rsidRPr="00781E66">
        <w:rPr>
          <w:rFonts w:ascii="Century Gothic" w:eastAsia="Times New Roman" w:hAnsi="Century Gothic" w:cs="Arial"/>
          <w:color w:val="000000"/>
          <w:sz w:val="20"/>
          <w:szCs w:val="20"/>
          <w:lang w:eastAsia="en-GB"/>
        </w:rPr>
        <w:t>Yours sincerely,</w:t>
      </w:r>
    </w:p>
    <w:p w14:paraId="66C4FD91" w14:textId="77777777" w:rsidR="00781E66" w:rsidRPr="00781E66" w:rsidRDefault="00781E66" w:rsidP="00781E66">
      <w:pPr>
        <w:rPr>
          <w:rFonts w:ascii="Century Gothic" w:eastAsia="Times New Roman" w:hAnsi="Century Gothic" w:cs="Arial"/>
          <w:color w:val="000000"/>
          <w:sz w:val="20"/>
          <w:szCs w:val="20"/>
          <w:lang w:eastAsia="en-GB"/>
        </w:rPr>
      </w:pPr>
      <w:r w:rsidRPr="00781E66">
        <w:rPr>
          <w:rFonts w:ascii="Century Gothic" w:eastAsia="Times New Roman" w:hAnsi="Century Gothic" w:cs="Arial"/>
          <w:color w:val="000000"/>
          <w:sz w:val="20"/>
          <w:szCs w:val="20"/>
          <w:lang w:eastAsia="en-GB"/>
        </w:rPr>
        <w:br/>
      </w:r>
      <w:r w:rsidRPr="00F579A3">
        <w:rPr>
          <w:rFonts w:ascii="Century Gothic" w:eastAsia="Times New Roman" w:hAnsi="Century Gothic" w:cs="Arial"/>
          <w:color w:val="000000"/>
          <w:sz w:val="20"/>
          <w:szCs w:val="20"/>
          <w:lang w:eastAsia="en-GB"/>
        </w:rPr>
        <w:t>[Your Name]</w:t>
      </w:r>
    </w:p>
    <w:p w14:paraId="2E40A24E" w14:textId="77777777" w:rsidR="006711B7" w:rsidRPr="00F579A3" w:rsidRDefault="009D43C0">
      <w:pPr>
        <w:rPr>
          <w:rFonts w:ascii="Century Gothic" w:eastAsia="Times New Roman" w:hAnsi="Century Gothic" w:cs="Arial"/>
          <w:color w:val="000000"/>
          <w:sz w:val="20"/>
          <w:szCs w:val="20"/>
          <w:lang w:eastAsia="en-GB"/>
        </w:rPr>
      </w:pPr>
      <w:r w:rsidRPr="00F579A3">
        <w:rPr>
          <w:rFonts w:ascii="Century Gothic" w:eastAsia="Times New Roman" w:hAnsi="Century Gothic" w:cs="Arial"/>
          <w:color w:val="000000"/>
          <w:sz w:val="20"/>
          <w:szCs w:val="20"/>
          <w:lang w:eastAsia="en-GB"/>
        </w:rPr>
        <w:t>[please indicate if you wish your name to be removed in reporting for anonymity]</w:t>
      </w:r>
    </w:p>
    <w:sectPr w:rsidR="006711B7" w:rsidRPr="00F579A3"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DE82CB" w14:textId="77777777" w:rsidR="00585F0D" w:rsidRDefault="00585F0D" w:rsidP="00157B16">
      <w:r>
        <w:separator/>
      </w:r>
    </w:p>
  </w:endnote>
  <w:endnote w:type="continuationSeparator" w:id="0">
    <w:p w14:paraId="3F7FBDE8" w14:textId="77777777" w:rsidR="00585F0D" w:rsidRDefault="00585F0D" w:rsidP="00157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5B04B2" w14:textId="77777777" w:rsidR="00585F0D" w:rsidRDefault="00585F0D" w:rsidP="00157B16">
      <w:r>
        <w:separator/>
      </w:r>
    </w:p>
  </w:footnote>
  <w:footnote w:type="continuationSeparator" w:id="0">
    <w:p w14:paraId="64D5FA8C" w14:textId="77777777" w:rsidR="00585F0D" w:rsidRDefault="00585F0D" w:rsidP="00157B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66"/>
    <w:rsid w:val="00157B16"/>
    <w:rsid w:val="00344D7C"/>
    <w:rsid w:val="00585F0D"/>
    <w:rsid w:val="006711B7"/>
    <w:rsid w:val="00781E66"/>
    <w:rsid w:val="007F1C02"/>
    <w:rsid w:val="009D43C0"/>
    <w:rsid w:val="00A7554F"/>
    <w:rsid w:val="00F579A3"/>
    <w:rsid w:val="00F9711C"/>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8A2B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m">
    <w:name w:val="im"/>
    <w:basedOn w:val="DefaultParagraphFont"/>
    <w:rsid w:val="00781E66"/>
  </w:style>
  <w:style w:type="paragraph" w:styleId="NormalWeb">
    <w:name w:val="Normal (Web)"/>
    <w:basedOn w:val="Normal"/>
    <w:uiPriority w:val="99"/>
    <w:unhideWhenUsed/>
    <w:rsid w:val="009D43C0"/>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9D43C0"/>
    <w:rPr>
      <w:b/>
      <w:bCs/>
    </w:rPr>
  </w:style>
  <w:style w:type="paragraph" w:styleId="Header">
    <w:name w:val="header"/>
    <w:basedOn w:val="Normal"/>
    <w:link w:val="HeaderChar"/>
    <w:uiPriority w:val="99"/>
    <w:unhideWhenUsed/>
    <w:rsid w:val="00157B16"/>
    <w:pPr>
      <w:tabs>
        <w:tab w:val="center" w:pos="4513"/>
        <w:tab w:val="right" w:pos="9026"/>
      </w:tabs>
    </w:pPr>
  </w:style>
  <w:style w:type="character" w:customStyle="1" w:styleId="HeaderChar">
    <w:name w:val="Header Char"/>
    <w:basedOn w:val="DefaultParagraphFont"/>
    <w:link w:val="Header"/>
    <w:uiPriority w:val="99"/>
    <w:rsid w:val="00157B16"/>
  </w:style>
  <w:style w:type="paragraph" w:styleId="Footer">
    <w:name w:val="footer"/>
    <w:basedOn w:val="Normal"/>
    <w:link w:val="FooterChar"/>
    <w:uiPriority w:val="99"/>
    <w:unhideWhenUsed/>
    <w:rsid w:val="00157B16"/>
    <w:pPr>
      <w:tabs>
        <w:tab w:val="center" w:pos="4513"/>
        <w:tab w:val="right" w:pos="9026"/>
      </w:tabs>
    </w:pPr>
  </w:style>
  <w:style w:type="character" w:customStyle="1" w:styleId="FooterChar">
    <w:name w:val="Footer Char"/>
    <w:basedOn w:val="DefaultParagraphFont"/>
    <w:link w:val="Footer"/>
    <w:uiPriority w:val="99"/>
    <w:rsid w:val="00157B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62598944">
      <w:bodyDiv w:val="1"/>
      <w:marLeft w:val="0"/>
      <w:marRight w:val="0"/>
      <w:marTop w:val="0"/>
      <w:marBottom w:val="0"/>
      <w:divBdr>
        <w:top w:val="none" w:sz="0" w:space="0" w:color="auto"/>
        <w:left w:val="none" w:sz="0" w:space="0" w:color="auto"/>
        <w:bottom w:val="none" w:sz="0" w:space="0" w:color="auto"/>
        <w:right w:val="none" w:sz="0" w:space="0" w:color="auto"/>
      </w:divBdr>
      <w:divsChild>
        <w:div w:id="886919338">
          <w:marLeft w:val="0"/>
          <w:marRight w:val="0"/>
          <w:marTop w:val="240"/>
          <w:marBottom w:val="240"/>
          <w:divBdr>
            <w:top w:val="none" w:sz="0" w:space="0" w:color="auto"/>
            <w:left w:val="none" w:sz="0" w:space="0" w:color="auto"/>
            <w:bottom w:val="none" w:sz="0" w:space="0" w:color="auto"/>
            <w:right w:val="none" w:sz="0" w:space="0" w:color="auto"/>
          </w:divBdr>
        </w:div>
        <w:div w:id="969018473">
          <w:marLeft w:val="0"/>
          <w:marRight w:val="0"/>
          <w:marTop w:val="240"/>
          <w:marBottom w:val="240"/>
          <w:divBdr>
            <w:top w:val="none" w:sz="0" w:space="0" w:color="auto"/>
            <w:left w:val="none" w:sz="0" w:space="0" w:color="auto"/>
            <w:bottom w:val="none" w:sz="0" w:space="0" w:color="auto"/>
            <w:right w:val="none" w:sz="0" w:space="0" w:color="auto"/>
          </w:divBdr>
        </w:div>
        <w:div w:id="756362618">
          <w:marLeft w:val="0"/>
          <w:marRight w:val="0"/>
          <w:marTop w:val="240"/>
          <w:marBottom w:val="240"/>
          <w:divBdr>
            <w:top w:val="none" w:sz="0" w:space="0" w:color="auto"/>
            <w:left w:val="none" w:sz="0" w:space="0" w:color="auto"/>
            <w:bottom w:val="none" w:sz="0" w:space="0" w:color="auto"/>
            <w:right w:val="none" w:sz="0" w:space="0" w:color="auto"/>
          </w:divBdr>
        </w:div>
        <w:div w:id="1192918225">
          <w:marLeft w:val="0"/>
          <w:marRight w:val="0"/>
          <w:marTop w:val="240"/>
          <w:marBottom w:val="240"/>
          <w:divBdr>
            <w:top w:val="none" w:sz="0" w:space="0" w:color="auto"/>
            <w:left w:val="none" w:sz="0" w:space="0" w:color="auto"/>
            <w:bottom w:val="none" w:sz="0" w:space="0" w:color="auto"/>
            <w:right w:val="none" w:sz="0" w:space="0" w:color="auto"/>
          </w:divBdr>
        </w:div>
        <w:div w:id="17195380">
          <w:marLeft w:val="0"/>
          <w:marRight w:val="0"/>
          <w:marTop w:val="240"/>
          <w:marBottom w:val="240"/>
          <w:divBdr>
            <w:top w:val="none" w:sz="0" w:space="0" w:color="auto"/>
            <w:left w:val="none" w:sz="0" w:space="0" w:color="auto"/>
            <w:bottom w:val="none" w:sz="0" w:space="0" w:color="auto"/>
            <w:right w:val="none" w:sz="0" w:space="0" w:color="auto"/>
          </w:divBdr>
        </w:div>
        <w:div w:id="842744780">
          <w:marLeft w:val="0"/>
          <w:marRight w:val="0"/>
          <w:marTop w:val="0"/>
          <w:marBottom w:val="0"/>
          <w:divBdr>
            <w:top w:val="none" w:sz="0" w:space="0" w:color="auto"/>
            <w:left w:val="none" w:sz="0" w:space="0" w:color="auto"/>
            <w:bottom w:val="none" w:sz="0" w:space="0" w:color="auto"/>
            <w:right w:val="none" w:sz="0" w:space="0" w:color="auto"/>
          </w:divBdr>
        </w:div>
        <w:div w:id="129251538">
          <w:marLeft w:val="0"/>
          <w:marRight w:val="0"/>
          <w:marTop w:val="240"/>
          <w:marBottom w:val="240"/>
          <w:divBdr>
            <w:top w:val="none" w:sz="0" w:space="0" w:color="auto"/>
            <w:left w:val="none" w:sz="0" w:space="0" w:color="auto"/>
            <w:bottom w:val="none" w:sz="0" w:space="0" w:color="auto"/>
            <w:right w:val="none" w:sz="0" w:space="0" w:color="auto"/>
          </w:divBdr>
        </w:div>
        <w:div w:id="1635603033">
          <w:marLeft w:val="0"/>
          <w:marRight w:val="0"/>
          <w:marTop w:val="240"/>
          <w:marBottom w:val="240"/>
          <w:divBdr>
            <w:top w:val="none" w:sz="0" w:space="0" w:color="auto"/>
            <w:left w:val="none" w:sz="0" w:space="0" w:color="auto"/>
            <w:bottom w:val="none" w:sz="0" w:space="0" w:color="auto"/>
            <w:right w:val="none" w:sz="0" w:space="0" w:color="auto"/>
          </w:divBdr>
        </w:div>
        <w:div w:id="1153067233">
          <w:marLeft w:val="0"/>
          <w:marRight w:val="0"/>
          <w:marTop w:val="0"/>
          <w:marBottom w:val="0"/>
          <w:divBdr>
            <w:top w:val="none" w:sz="0" w:space="0" w:color="auto"/>
            <w:left w:val="none" w:sz="0" w:space="0" w:color="auto"/>
            <w:bottom w:val="none" w:sz="0" w:space="0" w:color="auto"/>
            <w:right w:val="none" w:sz="0" w:space="0" w:color="auto"/>
          </w:divBdr>
        </w:div>
        <w:div w:id="874775771">
          <w:marLeft w:val="0"/>
          <w:marRight w:val="0"/>
          <w:marTop w:val="240"/>
          <w:marBottom w:val="240"/>
          <w:divBdr>
            <w:top w:val="none" w:sz="0" w:space="0" w:color="auto"/>
            <w:left w:val="none" w:sz="0" w:space="0" w:color="auto"/>
            <w:bottom w:val="none" w:sz="0" w:space="0" w:color="auto"/>
            <w:right w:val="none" w:sz="0" w:space="0" w:color="auto"/>
          </w:divBdr>
        </w:div>
        <w:div w:id="1254584123">
          <w:marLeft w:val="0"/>
          <w:marRight w:val="0"/>
          <w:marTop w:val="240"/>
          <w:marBottom w:val="240"/>
          <w:divBdr>
            <w:top w:val="none" w:sz="0" w:space="0" w:color="auto"/>
            <w:left w:val="none" w:sz="0" w:space="0" w:color="auto"/>
            <w:bottom w:val="none" w:sz="0" w:space="0" w:color="auto"/>
            <w:right w:val="none" w:sz="0" w:space="0" w:color="auto"/>
          </w:divBdr>
        </w:div>
        <w:div w:id="1497838192">
          <w:marLeft w:val="0"/>
          <w:marRight w:val="0"/>
          <w:marTop w:val="0"/>
          <w:marBottom w:val="0"/>
          <w:divBdr>
            <w:top w:val="none" w:sz="0" w:space="0" w:color="auto"/>
            <w:left w:val="none" w:sz="0" w:space="0" w:color="auto"/>
            <w:bottom w:val="none" w:sz="0" w:space="0" w:color="auto"/>
            <w:right w:val="none" w:sz="0" w:space="0" w:color="auto"/>
          </w:divBdr>
        </w:div>
        <w:div w:id="306741006">
          <w:marLeft w:val="0"/>
          <w:marRight w:val="0"/>
          <w:marTop w:val="240"/>
          <w:marBottom w:val="240"/>
          <w:divBdr>
            <w:top w:val="none" w:sz="0" w:space="0" w:color="auto"/>
            <w:left w:val="none" w:sz="0" w:space="0" w:color="auto"/>
            <w:bottom w:val="none" w:sz="0" w:space="0" w:color="auto"/>
            <w:right w:val="none" w:sz="0" w:space="0" w:color="auto"/>
          </w:divBdr>
        </w:div>
        <w:div w:id="1585609796">
          <w:marLeft w:val="0"/>
          <w:marRight w:val="0"/>
          <w:marTop w:val="240"/>
          <w:marBottom w:val="240"/>
          <w:divBdr>
            <w:top w:val="none" w:sz="0" w:space="0" w:color="auto"/>
            <w:left w:val="none" w:sz="0" w:space="0" w:color="auto"/>
            <w:bottom w:val="none" w:sz="0" w:space="0" w:color="auto"/>
            <w:right w:val="none" w:sz="0" w:space="0" w:color="auto"/>
          </w:divBdr>
        </w:div>
        <w:div w:id="1572501006">
          <w:marLeft w:val="0"/>
          <w:marRight w:val="0"/>
          <w:marTop w:val="0"/>
          <w:marBottom w:val="0"/>
          <w:divBdr>
            <w:top w:val="none" w:sz="0" w:space="0" w:color="auto"/>
            <w:left w:val="none" w:sz="0" w:space="0" w:color="auto"/>
            <w:bottom w:val="none" w:sz="0" w:space="0" w:color="auto"/>
            <w:right w:val="none" w:sz="0" w:space="0" w:color="auto"/>
          </w:divBdr>
        </w:div>
        <w:div w:id="576207470">
          <w:marLeft w:val="0"/>
          <w:marRight w:val="0"/>
          <w:marTop w:val="240"/>
          <w:marBottom w:val="240"/>
          <w:divBdr>
            <w:top w:val="none" w:sz="0" w:space="0" w:color="auto"/>
            <w:left w:val="none" w:sz="0" w:space="0" w:color="auto"/>
            <w:bottom w:val="none" w:sz="0" w:space="0" w:color="auto"/>
            <w:right w:val="none" w:sz="0" w:space="0" w:color="auto"/>
          </w:divBdr>
        </w:div>
        <w:div w:id="765689101">
          <w:marLeft w:val="0"/>
          <w:marRight w:val="0"/>
          <w:marTop w:val="240"/>
          <w:marBottom w:val="240"/>
          <w:divBdr>
            <w:top w:val="none" w:sz="0" w:space="0" w:color="auto"/>
            <w:left w:val="none" w:sz="0" w:space="0" w:color="auto"/>
            <w:bottom w:val="none" w:sz="0" w:space="0" w:color="auto"/>
            <w:right w:val="none" w:sz="0" w:space="0" w:color="auto"/>
          </w:divBdr>
        </w:div>
        <w:div w:id="430391758">
          <w:marLeft w:val="0"/>
          <w:marRight w:val="0"/>
          <w:marTop w:val="0"/>
          <w:marBottom w:val="0"/>
          <w:divBdr>
            <w:top w:val="none" w:sz="0" w:space="0" w:color="auto"/>
            <w:left w:val="none" w:sz="0" w:space="0" w:color="auto"/>
            <w:bottom w:val="none" w:sz="0" w:space="0" w:color="auto"/>
            <w:right w:val="none" w:sz="0" w:space="0" w:color="auto"/>
          </w:divBdr>
        </w:div>
        <w:div w:id="111680314">
          <w:marLeft w:val="0"/>
          <w:marRight w:val="0"/>
          <w:marTop w:val="240"/>
          <w:marBottom w:val="240"/>
          <w:divBdr>
            <w:top w:val="none" w:sz="0" w:space="0" w:color="auto"/>
            <w:left w:val="none" w:sz="0" w:space="0" w:color="auto"/>
            <w:bottom w:val="none" w:sz="0" w:space="0" w:color="auto"/>
            <w:right w:val="none" w:sz="0" w:space="0" w:color="auto"/>
          </w:divBdr>
        </w:div>
        <w:div w:id="504709906">
          <w:marLeft w:val="0"/>
          <w:marRight w:val="0"/>
          <w:marTop w:val="0"/>
          <w:marBottom w:val="0"/>
          <w:divBdr>
            <w:top w:val="none" w:sz="0" w:space="0" w:color="auto"/>
            <w:left w:val="none" w:sz="0" w:space="0" w:color="auto"/>
            <w:bottom w:val="none" w:sz="0" w:space="0" w:color="auto"/>
            <w:right w:val="none" w:sz="0" w:space="0" w:color="auto"/>
          </w:divBdr>
        </w:div>
        <w:div w:id="875195390">
          <w:marLeft w:val="0"/>
          <w:marRight w:val="0"/>
          <w:marTop w:val="240"/>
          <w:marBottom w:val="240"/>
          <w:divBdr>
            <w:top w:val="none" w:sz="0" w:space="0" w:color="auto"/>
            <w:left w:val="none" w:sz="0" w:space="0" w:color="auto"/>
            <w:bottom w:val="none" w:sz="0" w:space="0" w:color="auto"/>
            <w:right w:val="none" w:sz="0" w:space="0" w:color="auto"/>
          </w:divBdr>
        </w:div>
        <w:div w:id="610237487">
          <w:marLeft w:val="0"/>
          <w:marRight w:val="0"/>
          <w:marTop w:val="240"/>
          <w:marBottom w:val="240"/>
          <w:divBdr>
            <w:top w:val="none" w:sz="0" w:space="0" w:color="auto"/>
            <w:left w:val="none" w:sz="0" w:space="0" w:color="auto"/>
            <w:bottom w:val="none" w:sz="0" w:space="0" w:color="auto"/>
            <w:right w:val="none" w:sz="0" w:space="0" w:color="auto"/>
          </w:divBdr>
        </w:div>
        <w:div w:id="1357850294">
          <w:marLeft w:val="0"/>
          <w:marRight w:val="0"/>
          <w:marTop w:val="0"/>
          <w:marBottom w:val="0"/>
          <w:divBdr>
            <w:top w:val="none" w:sz="0" w:space="0" w:color="auto"/>
            <w:left w:val="none" w:sz="0" w:space="0" w:color="auto"/>
            <w:bottom w:val="none" w:sz="0" w:space="0" w:color="auto"/>
            <w:right w:val="none" w:sz="0" w:space="0" w:color="auto"/>
          </w:divBdr>
        </w:div>
        <w:div w:id="396324000">
          <w:marLeft w:val="0"/>
          <w:marRight w:val="0"/>
          <w:marTop w:val="240"/>
          <w:marBottom w:val="240"/>
          <w:divBdr>
            <w:top w:val="none" w:sz="0" w:space="0" w:color="auto"/>
            <w:left w:val="none" w:sz="0" w:space="0" w:color="auto"/>
            <w:bottom w:val="none" w:sz="0" w:space="0" w:color="auto"/>
            <w:right w:val="none" w:sz="0" w:space="0" w:color="auto"/>
          </w:divBdr>
        </w:div>
        <w:div w:id="1665234233">
          <w:marLeft w:val="0"/>
          <w:marRight w:val="0"/>
          <w:marTop w:val="240"/>
          <w:marBottom w:val="240"/>
          <w:divBdr>
            <w:top w:val="none" w:sz="0" w:space="0" w:color="auto"/>
            <w:left w:val="none" w:sz="0" w:space="0" w:color="auto"/>
            <w:bottom w:val="none" w:sz="0" w:space="0" w:color="auto"/>
            <w:right w:val="none" w:sz="0" w:space="0" w:color="auto"/>
          </w:divBdr>
        </w:div>
        <w:div w:id="1224095884">
          <w:marLeft w:val="0"/>
          <w:marRight w:val="0"/>
          <w:marTop w:val="240"/>
          <w:marBottom w:val="240"/>
          <w:divBdr>
            <w:top w:val="none" w:sz="0" w:space="0" w:color="auto"/>
            <w:left w:val="none" w:sz="0" w:space="0" w:color="auto"/>
            <w:bottom w:val="none" w:sz="0" w:space="0" w:color="auto"/>
            <w:right w:val="none" w:sz="0" w:space="0" w:color="auto"/>
          </w:divBdr>
        </w:div>
        <w:div w:id="2061392445">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1185</Words>
  <Characters>6758</Characters>
  <Application>Microsoft Office Word</Application>
  <DocSecurity>0</DocSecurity>
  <Lines>56</Lines>
  <Paragraphs>15</Paragraphs>
  <ScaleCrop>false</ScaleCrop>
  <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2024-08-13T08:38:00Z</dcterms:created>
  <dcterms:modified xsi:type="dcterms:W3CDTF">2024-08-13T08:38:00Z</dcterms:modified>
</cp:coreProperties>
</file>